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1E9B" w:rsidR="00CE3311" w:rsidP="00CE3311" w:rsidRDefault="00CE3311" w14:paraId="55BBF791" w14:textId="77777777">
      <w:pPr>
        <w:jc w:val="center"/>
        <w:rPr>
          <w:b/>
          <w:bCs/>
          <w:sz w:val="28"/>
          <w:szCs w:val="28"/>
          <w:u w:val="single"/>
        </w:rPr>
      </w:pPr>
      <w:r w:rsidRPr="00021E9B">
        <w:rPr>
          <w:b/>
          <w:bCs/>
          <w:sz w:val="28"/>
          <w:szCs w:val="28"/>
          <w:u w:val="single"/>
        </w:rPr>
        <w:t>South Norfolk District Council 2020</w:t>
      </w:r>
    </w:p>
    <w:p w:rsidRPr="00021E9B" w:rsidR="00021E9B" w:rsidP="00CE3311" w:rsidRDefault="00021E9B" w14:paraId="3ECFDA17" w14:textId="0FDF5420">
      <w:pPr>
        <w:jc w:val="center"/>
        <w:rPr>
          <w:b/>
          <w:bCs/>
          <w:sz w:val="28"/>
          <w:szCs w:val="28"/>
          <w:u w:val="single"/>
        </w:rPr>
      </w:pPr>
      <w:r w:rsidRPr="00021E9B">
        <w:rPr>
          <w:b/>
          <w:bCs/>
          <w:sz w:val="28"/>
          <w:szCs w:val="28"/>
          <w:u w:val="single"/>
        </w:rPr>
        <w:t>The Anti-Social Behaviour, Crime and Policing Act 2014</w:t>
      </w:r>
    </w:p>
    <w:p w:rsidRPr="00021E9B" w:rsidR="00021E9B" w:rsidP="00021E9B" w:rsidRDefault="00021E9B" w14:paraId="46EE6A1D" w14:textId="77777777">
      <w:pPr>
        <w:jc w:val="center"/>
        <w:rPr>
          <w:b/>
          <w:bCs/>
          <w:sz w:val="28"/>
          <w:szCs w:val="28"/>
          <w:u w:val="single"/>
        </w:rPr>
      </w:pPr>
      <w:r w:rsidRPr="00021E9B">
        <w:rPr>
          <w:b/>
          <w:bCs/>
          <w:sz w:val="28"/>
          <w:szCs w:val="28"/>
          <w:u w:val="single"/>
        </w:rPr>
        <w:t>Fouling of Land by Dogs</w:t>
      </w:r>
    </w:p>
    <w:p w:rsidRPr="00021E9B" w:rsidR="00021E9B" w:rsidP="00021E9B" w:rsidRDefault="00021E9B" w14:paraId="0F533320" w14:textId="22E28884">
      <w:pPr>
        <w:jc w:val="center"/>
        <w:rPr>
          <w:b/>
          <w:bCs/>
          <w:sz w:val="28"/>
          <w:szCs w:val="28"/>
          <w:u w:val="single"/>
        </w:rPr>
      </w:pPr>
      <w:r w:rsidRPr="3F059AF6">
        <w:rPr>
          <w:b/>
          <w:bCs/>
          <w:sz w:val="28"/>
          <w:szCs w:val="28"/>
          <w:u w:val="single"/>
        </w:rPr>
        <w:t>The District of South Norfolk</w:t>
      </w:r>
      <w:r w:rsidRPr="3F059AF6" w:rsidR="00CE3311">
        <w:rPr>
          <w:b/>
          <w:bCs/>
          <w:sz w:val="28"/>
          <w:szCs w:val="28"/>
          <w:u w:val="single"/>
        </w:rPr>
        <w:t xml:space="preserve"> Public Spaces Protection Order No. </w:t>
      </w:r>
      <w:r w:rsidR="00191275">
        <w:rPr>
          <w:b/>
          <w:bCs/>
          <w:sz w:val="28"/>
          <w:szCs w:val="28"/>
          <w:u w:val="single"/>
        </w:rPr>
        <w:t>4</w:t>
      </w:r>
    </w:p>
    <w:p w:rsidRPr="00590206" w:rsidR="00021E9B" w:rsidP="00021E9B" w:rsidRDefault="00021E9B" w14:paraId="0A049615" w14:textId="77777777"/>
    <w:p w:rsidRPr="004E3039" w:rsidR="00021E9B" w:rsidP="00A52CEA" w:rsidRDefault="00021E9B" w14:paraId="72BECC3C" w14:textId="79536E57">
      <w:pPr>
        <w:pStyle w:val="ListParagraph"/>
        <w:numPr>
          <w:ilvl w:val="0"/>
          <w:numId w:val="2"/>
        </w:numPr>
        <w:rPr>
          <w:b/>
          <w:bCs/>
          <w:sz w:val="24"/>
          <w:szCs w:val="24"/>
        </w:rPr>
      </w:pPr>
      <w:r w:rsidRPr="004E3039">
        <w:rPr>
          <w:b/>
          <w:bCs/>
          <w:sz w:val="24"/>
          <w:szCs w:val="24"/>
        </w:rPr>
        <w:t>South Norfolk District Council (“the Council”) hereby makes the following Order:</w:t>
      </w:r>
    </w:p>
    <w:p w:rsidRPr="00590206" w:rsidR="00A52CEA" w:rsidP="00A52CEA" w:rsidRDefault="00A52CEA" w14:paraId="10BCEECD" w14:textId="77777777">
      <w:pPr>
        <w:pStyle w:val="ListParagraph"/>
        <w:ind w:left="360"/>
        <w:rPr>
          <w:sz w:val="24"/>
          <w:szCs w:val="24"/>
        </w:rPr>
      </w:pPr>
    </w:p>
    <w:p w:rsidR="00A52CEA" w:rsidP="00021E9B" w:rsidRDefault="00021E9B" w14:paraId="52558980" w14:textId="66C93295">
      <w:pPr>
        <w:pStyle w:val="ListParagraph"/>
        <w:numPr>
          <w:ilvl w:val="1"/>
          <w:numId w:val="2"/>
        </w:numPr>
        <w:rPr>
          <w:sz w:val="24"/>
          <w:szCs w:val="24"/>
        </w:rPr>
      </w:pPr>
      <w:r w:rsidRPr="3F059AF6">
        <w:rPr>
          <w:sz w:val="24"/>
          <w:szCs w:val="24"/>
        </w:rPr>
        <w:t>This Order is made by the Council in exercise of its powers under Section 59 and Chapter 2 of Part 4 of the Anti-Social Behaviour, Crime and Policing Act 2014 (“the Act”)</w:t>
      </w:r>
      <w:r w:rsidRPr="3F059AF6" w:rsidR="00CE3311">
        <w:rPr>
          <w:sz w:val="24"/>
          <w:szCs w:val="24"/>
        </w:rPr>
        <w:t xml:space="preserve"> and this Order may be cited at the South Norfolk District Council Public Space Protection Order No.</w:t>
      </w:r>
      <w:r w:rsidR="00191275">
        <w:rPr>
          <w:sz w:val="24"/>
          <w:szCs w:val="24"/>
        </w:rPr>
        <w:t>4</w:t>
      </w:r>
      <w:r w:rsidRPr="3F059AF6" w:rsidR="00CE3311">
        <w:rPr>
          <w:sz w:val="24"/>
          <w:szCs w:val="24"/>
        </w:rPr>
        <w:t>.</w:t>
      </w:r>
    </w:p>
    <w:p w:rsidRPr="00590206" w:rsidR="00590206" w:rsidP="00590206" w:rsidRDefault="00590206" w14:paraId="51C60C58" w14:textId="77777777">
      <w:pPr>
        <w:pStyle w:val="ListParagraph"/>
        <w:ind w:left="1080"/>
        <w:rPr>
          <w:sz w:val="24"/>
          <w:szCs w:val="24"/>
        </w:rPr>
      </w:pPr>
    </w:p>
    <w:p w:rsidR="00590206" w:rsidP="00590206" w:rsidRDefault="00021E9B" w14:paraId="11416C67" w14:textId="2E8D24AA">
      <w:pPr>
        <w:pStyle w:val="ListParagraph"/>
        <w:numPr>
          <w:ilvl w:val="1"/>
          <w:numId w:val="2"/>
        </w:numPr>
        <w:rPr>
          <w:sz w:val="24"/>
          <w:szCs w:val="24"/>
        </w:rPr>
      </w:pPr>
      <w:r w:rsidRPr="00590206">
        <w:rPr>
          <w:sz w:val="24"/>
          <w:szCs w:val="24"/>
        </w:rPr>
        <w:t>The Council is satisfied that:</w:t>
      </w:r>
    </w:p>
    <w:p w:rsidRPr="004E3039" w:rsidR="004E3039" w:rsidP="004E3039" w:rsidRDefault="004E3039" w14:paraId="429F4316" w14:textId="77777777">
      <w:pPr>
        <w:pStyle w:val="ListParagraph"/>
        <w:rPr>
          <w:sz w:val="24"/>
          <w:szCs w:val="24"/>
        </w:rPr>
      </w:pPr>
    </w:p>
    <w:p w:rsidRPr="00590206" w:rsidR="00A52CEA" w:rsidP="00021E9B" w:rsidRDefault="0086679C" w14:paraId="1B25A769" w14:textId="11821C00">
      <w:pPr>
        <w:pStyle w:val="ListParagraph"/>
        <w:numPr>
          <w:ilvl w:val="2"/>
          <w:numId w:val="2"/>
        </w:numPr>
        <w:rPr>
          <w:sz w:val="24"/>
          <w:szCs w:val="24"/>
        </w:rPr>
      </w:pPr>
      <w:r w:rsidRPr="00590206">
        <w:rPr>
          <w:sz w:val="24"/>
          <w:szCs w:val="24"/>
        </w:rPr>
        <w:t xml:space="preserve">Activities carried on within the restricted area as defined in </w:t>
      </w:r>
      <w:r w:rsidRPr="00590206" w:rsidR="007F10BC">
        <w:rPr>
          <w:sz w:val="24"/>
          <w:szCs w:val="24"/>
        </w:rPr>
        <w:t xml:space="preserve">Article </w:t>
      </w:r>
      <w:r w:rsidR="004E3039">
        <w:rPr>
          <w:sz w:val="24"/>
          <w:szCs w:val="24"/>
        </w:rPr>
        <w:t>2</w:t>
      </w:r>
      <w:r w:rsidRPr="00590206" w:rsidR="007F10BC">
        <w:rPr>
          <w:sz w:val="24"/>
          <w:szCs w:val="24"/>
        </w:rPr>
        <w:t xml:space="preserve"> </w:t>
      </w:r>
      <w:r w:rsidRPr="00590206">
        <w:rPr>
          <w:sz w:val="24"/>
          <w:szCs w:val="24"/>
        </w:rPr>
        <w:t xml:space="preserve">below, being the fouling of land by dogs and/or the presence of dogs in </w:t>
      </w:r>
      <w:r w:rsidR="00A13106">
        <w:rPr>
          <w:sz w:val="24"/>
          <w:szCs w:val="24"/>
        </w:rPr>
        <w:t>enclosed</w:t>
      </w:r>
      <w:r w:rsidRPr="00590206">
        <w:rPr>
          <w:sz w:val="24"/>
          <w:szCs w:val="24"/>
        </w:rPr>
        <w:t xml:space="preserve"> play areas have had or are likely to have </w:t>
      </w:r>
      <w:r w:rsidRPr="00590206" w:rsidR="00021E9B">
        <w:rPr>
          <w:sz w:val="24"/>
          <w:szCs w:val="24"/>
        </w:rPr>
        <w:t xml:space="preserve">a detrimental effect </w:t>
      </w:r>
      <w:r w:rsidRPr="00590206">
        <w:rPr>
          <w:sz w:val="24"/>
          <w:szCs w:val="24"/>
        </w:rPr>
        <w:t>on the quality of life of those in the area</w:t>
      </w:r>
      <w:r w:rsidR="00875132">
        <w:rPr>
          <w:sz w:val="24"/>
          <w:szCs w:val="24"/>
        </w:rPr>
        <w:t>.</w:t>
      </w:r>
    </w:p>
    <w:p w:rsidRPr="00590206" w:rsidR="00021E9B" w:rsidP="00021E9B" w:rsidRDefault="00875132" w14:paraId="6DE9B19A" w14:textId="015ED14D">
      <w:pPr>
        <w:pStyle w:val="ListParagraph"/>
        <w:numPr>
          <w:ilvl w:val="2"/>
          <w:numId w:val="2"/>
        </w:numPr>
        <w:rPr>
          <w:sz w:val="24"/>
          <w:szCs w:val="24"/>
        </w:rPr>
      </w:pPr>
      <w:r>
        <w:rPr>
          <w:sz w:val="24"/>
          <w:szCs w:val="24"/>
        </w:rPr>
        <w:t>T</w:t>
      </w:r>
      <w:r w:rsidRPr="00590206" w:rsidR="00021E9B">
        <w:rPr>
          <w:sz w:val="24"/>
          <w:szCs w:val="24"/>
        </w:rPr>
        <w:t>hat such activities may be of a persistent or continuing nature and the restrictions imposed by this</w:t>
      </w:r>
      <w:r>
        <w:rPr>
          <w:sz w:val="24"/>
          <w:szCs w:val="24"/>
        </w:rPr>
        <w:t xml:space="preserve"> Order</w:t>
      </w:r>
      <w:r w:rsidRPr="00590206" w:rsidR="00021E9B">
        <w:rPr>
          <w:sz w:val="24"/>
          <w:szCs w:val="24"/>
        </w:rPr>
        <w:t xml:space="preserve"> are justified.</w:t>
      </w:r>
    </w:p>
    <w:p w:rsidRPr="00590206" w:rsidR="00A52CEA" w:rsidP="00A52CEA" w:rsidRDefault="00A52CEA" w14:paraId="27294E0A" w14:textId="77777777">
      <w:pPr>
        <w:pStyle w:val="ListParagraph"/>
        <w:ind w:left="1800"/>
        <w:rPr>
          <w:sz w:val="24"/>
          <w:szCs w:val="24"/>
        </w:rPr>
      </w:pPr>
    </w:p>
    <w:p w:rsidRPr="004E3039" w:rsidR="00590206" w:rsidP="00590206" w:rsidRDefault="00021E9B" w14:paraId="751C1241" w14:textId="50F54232">
      <w:pPr>
        <w:pStyle w:val="ListParagraph"/>
        <w:numPr>
          <w:ilvl w:val="0"/>
          <w:numId w:val="2"/>
        </w:numPr>
        <w:rPr>
          <w:b/>
          <w:bCs/>
          <w:sz w:val="24"/>
          <w:szCs w:val="24"/>
        </w:rPr>
      </w:pPr>
      <w:r w:rsidRPr="004E3039">
        <w:rPr>
          <w:b/>
          <w:bCs/>
          <w:sz w:val="24"/>
          <w:szCs w:val="24"/>
        </w:rPr>
        <w:t>The Restricted Area</w:t>
      </w:r>
      <w:r w:rsidRPr="004E3039" w:rsidR="00557A84">
        <w:rPr>
          <w:b/>
          <w:bCs/>
          <w:sz w:val="24"/>
          <w:szCs w:val="24"/>
        </w:rPr>
        <w:t>s</w:t>
      </w:r>
    </w:p>
    <w:p w:rsidRPr="00590206" w:rsidR="00590206" w:rsidP="00590206" w:rsidRDefault="00590206" w14:paraId="6BF9584B" w14:textId="77777777">
      <w:pPr>
        <w:pStyle w:val="ListParagraph"/>
        <w:ind w:left="360"/>
        <w:rPr>
          <w:sz w:val="24"/>
          <w:szCs w:val="24"/>
        </w:rPr>
      </w:pPr>
    </w:p>
    <w:p w:rsidR="00021E9B" w:rsidP="00590206" w:rsidRDefault="00021E9B" w14:paraId="2EDA027F" w14:textId="67EF3683">
      <w:pPr>
        <w:pStyle w:val="ListParagraph"/>
        <w:numPr>
          <w:ilvl w:val="1"/>
          <w:numId w:val="2"/>
        </w:numPr>
        <w:rPr>
          <w:sz w:val="24"/>
          <w:szCs w:val="24"/>
        </w:rPr>
      </w:pPr>
      <w:r w:rsidRPr="00590206">
        <w:rPr>
          <w:sz w:val="24"/>
          <w:szCs w:val="24"/>
        </w:rPr>
        <w:t>This Order relates to</w:t>
      </w:r>
      <w:r w:rsidRPr="00590206" w:rsidR="0086679C">
        <w:rPr>
          <w:sz w:val="24"/>
          <w:szCs w:val="24"/>
        </w:rPr>
        <w:t xml:space="preserve"> all land within the administrative a</w:t>
      </w:r>
      <w:r w:rsidRPr="00590206">
        <w:rPr>
          <w:sz w:val="24"/>
          <w:szCs w:val="24"/>
        </w:rPr>
        <w:t xml:space="preserve">rea </w:t>
      </w:r>
      <w:r w:rsidRPr="00590206" w:rsidR="0086679C">
        <w:rPr>
          <w:sz w:val="24"/>
          <w:szCs w:val="24"/>
        </w:rPr>
        <w:t>of the Council</w:t>
      </w:r>
      <w:r w:rsidRPr="00590206">
        <w:rPr>
          <w:sz w:val="24"/>
          <w:szCs w:val="24"/>
        </w:rPr>
        <w:t>, shown in red on the plan in Schedule 1 of this Order, (“the Restricted Area”). This Order relates to all public/private land open to the air to which the public have access with or without payment including</w:t>
      </w:r>
      <w:r w:rsidRPr="00590206" w:rsidR="0086679C">
        <w:rPr>
          <w:sz w:val="24"/>
          <w:szCs w:val="24"/>
        </w:rPr>
        <w:t xml:space="preserve"> but not limited to </w:t>
      </w:r>
      <w:r w:rsidRPr="00590206" w:rsidR="00557A84">
        <w:rPr>
          <w:sz w:val="24"/>
          <w:szCs w:val="24"/>
        </w:rPr>
        <w:t xml:space="preserve">all public </w:t>
      </w:r>
      <w:r w:rsidRPr="00590206">
        <w:rPr>
          <w:sz w:val="24"/>
          <w:szCs w:val="24"/>
        </w:rPr>
        <w:t>highway</w:t>
      </w:r>
      <w:r w:rsidRPr="00590206" w:rsidR="00557A84">
        <w:rPr>
          <w:sz w:val="24"/>
          <w:szCs w:val="24"/>
        </w:rPr>
        <w:t>s (to include verges, footways and footpaths), all public parks, pleasure grounds, sports grounds, playing fields and play areas</w:t>
      </w:r>
      <w:r w:rsidRPr="00590206">
        <w:rPr>
          <w:sz w:val="24"/>
          <w:szCs w:val="24"/>
        </w:rPr>
        <w:t>.</w:t>
      </w:r>
    </w:p>
    <w:p w:rsidRPr="00590206" w:rsidR="00590206" w:rsidP="00590206" w:rsidRDefault="00590206" w14:paraId="5F0B30CE" w14:textId="77777777">
      <w:pPr>
        <w:pStyle w:val="ListParagraph"/>
        <w:ind w:left="1080"/>
        <w:rPr>
          <w:sz w:val="24"/>
          <w:szCs w:val="24"/>
        </w:rPr>
      </w:pPr>
    </w:p>
    <w:p w:rsidRPr="004E3039" w:rsidR="00590206" w:rsidP="00590206" w:rsidRDefault="00557A84" w14:paraId="534E99D8" w14:textId="4B5C3A48">
      <w:pPr>
        <w:pStyle w:val="ListParagraph"/>
        <w:numPr>
          <w:ilvl w:val="0"/>
          <w:numId w:val="2"/>
        </w:numPr>
        <w:rPr>
          <w:b/>
          <w:bCs/>
          <w:sz w:val="24"/>
          <w:szCs w:val="24"/>
        </w:rPr>
      </w:pPr>
      <w:r w:rsidRPr="004E3039">
        <w:rPr>
          <w:b/>
          <w:bCs/>
          <w:sz w:val="24"/>
          <w:szCs w:val="24"/>
        </w:rPr>
        <w:t>Requirements and prohibitions</w:t>
      </w:r>
    </w:p>
    <w:p w:rsidRPr="00590206" w:rsidR="00590206" w:rsidP="00590206" w:rsidRDefault="00590206" w14:paraId="2C34C821" w14:textId="77777777">
      <w:pPr>
        <w:pStyle w:val="ListParagraph"/>
        <w:ind w:left="360"/>
        <w:rPr>
          <w:sz w:val="24"/>
          <w:szCs w:val="24"/>
        </w:rPr>
      </w:pPr>
    </w:p>
    <w:p w:rsidRPr="00590206" w:rsidR="00F340F7" w:rsidP="00590206" w:rsidRDefault="00557A84" w14:paraId="32E394FC" w14:textId="78514634">
      <w:pPr>
        <w:pStyle w:val="ListParagraph"/>
        <w:numPr>
          <w:ilvl w:val="1"/>
          <w:numId w:val="2"/>
        </w:numPr>
        <w:rPr>
          <w:sz w:val="24"/>
          <w:szCs w:val="24"/>
        </w:rPr>
      </w:pPr>
      <w:r w:rsidRPr="00590206">
        <w:rPr>
          <w:sz w:val="24"/>
          <w:szCs w:val="24"/>
        </w:rPr>
        <w:t>Fouling – failure to remove dog faeces</w:t>
      </w:r>
      <w:r w:rsidR="00875132">
        <w:rPr>
          <w:sz w:val="24"/>
          <w:szCs w:val="24"/>
        </w:rPr>
        <w:t>.</w:t>
      </w:r>
    </w:p>
    <w:p w:rsidRPr="00590206" w:rsidR="00021E9B" w:rsidP="00590206" w:rsidRDefault="00F340F7" w14:paraId="6AE9C1F7" w14:textId="4461A8B5">
      <w:pPr>
        <w:ind w:left="1080"/>
        <w:rPr>
          <w:sz w:val="24"/>
          <w:szCs w:val="24"/>
        </w:rPr>
      </w:pPr>
      <w:r w:rsidRPr="00590206">
        <w:rPr>
          <w:sz w:val="24"/>
          <w:szCs w:val="24"/>
        </w:rPr>
        <w:t xml:space="preserve">If </w:t>
      </w:r>
      <w:r w:rsidRPr="00590206" w:rsidR="00021E9B">
        <w:rPr>
          <w:sz w:val="24"/>
          <w:szCs w:val="24"/>
        </w:rPr>
        <w:t xml:space="preserve">a dog defecates at any time on land </w:t>
      </w:r>
      <w:r w:rsidRPr="00590206">
        <w:rPr>
          <w:sz w:val="24"/>
          <w:szCs w:val="24"/>
        </w:rPr>
        <w:t xml:space="preserve">within the restricted area </w:t>
      </w:r>
      <w:r w:rsidRPr="00590206" w:rsidR="00021E9B">
        <w:rPr>
          <w:sz w:val="24"/>
          <w:szCs w:val="24"/>
        </w:rPr>
        <w:t xml:space="preserve">the person who is in control of the dog at that time shall remove the dog’s faeces from the land forthwith. </w:t>
      </w:r>
      <w:bookmarkStart w:name="_Hlk53041353" w:id="0"/>
      <w:r w:rsidRPr="00590206" w:rsidR="00021E9B">
        <w:rPr>
          <w:sz w:val="24"/>
          <w:szCs w:val="24"/>
        </w:rPr>
        <w:t>This restriction is subject to the exemptions as stated in Article 4.</w:t>
      </w:r>
    </w:p>
    <w:bookmarkEnd w:id="0"/>
    <w:p w:rsidRPr="00590206" w:rsidR="00F340F7" w:rsidP="00590206" w:rsidRDefault="00F340F7" w14:paraId="71921333" w14:textId="46244939">
      <w:pPr>
        <w:pStyle w:val="ListParagraph"/>
        <w:numPr>
          <w:ilvl w:val="1"/>
          <w:numId w:val="2"/>
        </w:numPr>
        <w:rPr>
          <w:sz w:val="24"/>
          <w:szCs w:val="24"/>
        </w:rPr>
      </w:pPr>
      <w:r w:rsidRPr="00590206">
        <w:rPr>
          <w:sz w:val="24"/>
          <w:szCs w:val="24"/>
        </w:rPr>
        <w:t>Exclusion – Dog Ban</w:t>
      </w:r>
    </w:p>
    <w:p w:rsidRPr="00590206" w:rsidR="007F10BC" w:rsidP="00590206" w:rsidRDefault="00F340F7" w14:paraId="6A3D41C1" w14:textId="2A8C3FAD">
      <w:pPr>
        <w:ind w:left="720"/>
        <w:rPr>
          <w:sz w:val="24"/>
          <w:szCs w:val="24"/>
        </w:rPr>
      </w:pPr>
      <w:r w:rsidRPr="00590206">
        <w:rPr>
          <w:sz w:val="24"/>
          <w:szCs w:val="24"/>
        </w:rPr>
        <w:lastRenderedPageBreak/>
        <w:t>A person in charge of a dog shall not at any t</w:t>
      </w:r>
      <w:r w:rsidR="00061BC9">
        <w:rPr>
          <w:sz w:val="24"/>
          <w:szCs w:val="24"/>
        </w:rPr>
        <w:t>i</w:t>
      </w:r>
      <w:r w:rsidRPr="00590206">
        <w:rPr>
          <w:sz w:val="24"/>
          <w:szCs w:val="24"/>
        </w:rPr>
        <w:t xml:space="preserve">me </w:t>
      </w:r>
      <w:r w:rsidRPr="00590206" w:rsidR="007F10BC">
        <w:rPr>
          <w:sz w:val="24"/>
          <w:szCs w:val="24"/>
        </w:rPr>
        <w:t xml:space="preserve">take the dog into, or permit the dog to enter or remain within, any </w:t>
      </w:r>
      <w:r w:rsidR="00A13106">
        <w:rPr>
          <w:sz w:val="24"/>
          <w:szCs w:val="24"/>
        </w:rPr>
        <w:t>enclosed</w:t>
      </w:r>
      <w:r w:rsidRPr="00590206" w:rsidR="007F10BC">
        <w:rPr>
          <w:sz w:val="24"/>
          <w:szCs w:val="24"/>
        </w:rPr>
        <w:t xml:space="preserve"> play area within the restricted area. This restriction is subject to the exemptions as stated in Article 4.</w:t>
      </w:r>
    </w:p>
    <w:p w:rsidRPr="004E3039" w:rsidR="00590206" w:rsidP="00021E9B" w:rsidRDefault="00021E9B" w14:paraId="4629D975" w14:textId="4E88485A">
      <w:pPr>
        <w:pStyle w:val="ListParagraph"/>
        <w:numPr>
          <w:ilvl w:val="0"/>
          <w:numId w:val="2"/>
        </w:numPr>
        <w:rPr>
          <w:b/>
          <w:bCs/>
          <w:sz w:val="24"/>
          <w:szCs w:val="24"/>
        </w:rPr>
      </w:pPr>
      <w:r w:rsidRPr="004E3039">
        <w:rPr>
          <w:b/>
          <w:bCs/>
          <w:sz w:val="24"/>
          <w:szCs w:val="24"/>
        </w:rPr>
        <w:t>Exemptions</w:t>
      </w:r>
    </w:p>
    <w:p w:rsidR="00590206" w:rsidP="00590206" w:rsidRDefault="00590206" w14:paraId="5D4C7F48" w14:textId="77777777">
      <w:pPr>
        <w:pStyle w:val="ListParagraph"/>
        <w:ind w:left="360"/>
        <w:rPr>
          <w:sz w:val="24"/>
          <w:szCs w:val="24"/>
        </w:rPr>
      </w:pPr>
    </w:p>
    <w:p w:rsidR="00590206" w:rsidP="00590206" w:rsidRDefault="00021E9B" w14:paraId="7F56660A" w14:textId="2788CDDF">
      <w:pPr>
        <w:pStyle w:val="ListParagraph"/>
        <w:numPr>
          <w:ilvl w:val="1"/>
          <w:numId w:val="2"/>
        </w:numPr>
        <w:rPr>
          <w:sz w:val="24"/>
          <w:szCs w:val="24"/>
        </w:rPr>
      </w:pPr>
      <w:r w:rsidRPr="00590206">
        <w:rPr>
          <w:sz w:val="24"/>
          <w:szCs w:val="24"/>
        </w:rPr>
        <w:t xml:space="preserve">The restrictions </w:t>
      </w:r>
      <w:r w:rsidRPr="00590206" w:rsidR="007F10BC">
        <w:rPr>
          <w:sz w:val="24"/>
          <w:szCs w:val="24"/>
        </w:rPr>
        <w:t xml:space="preserve">and prohibitions </w:t>
      </w:r>
      <w:r w:rsidRPr="00590206">
        <w:rPr>
          <w:sz w:val="24"/>
          <w:szCs w:val="24"/>
        </w:rPr>
        <w:t xml:space="preserve">defined in Article </w:t>
      </w:r>
      <w:r w:rsidRPr="00590206" w:rsidR="007F10BC">
        <w:rPr>
          <w:sz w:val="24"/>
          <w:szCs w:val="24"/>
        </w:rPr>
        <w:t>3</w:t>
      </w:r>
      <w:r w:rsidRPr="00590206">
        <w:rPr>
          <w:sz w:val="24"/>
          <w:szCs w:val="24"/>
        </w:rPr>
        <w:t xml:space="preserve"> of this Order shall not apply to a person who:</w:t>
      </w:r>
    </w:p>
    <w:p w:rsidR="00590206" w:rsidP="00590206" w:rsidRDefault="00590206" w14:paraId="7626E8A0" w14:textId="77777777">
      <w:pPr>
        <w:pStyle w:val="ListParagraph"/>
        <w:ind w:left="1080"/>
        <w:rPr>
          <w:sz w:val="24"/>
          <w:szCs w:val="24"/>
        </w:rPr>
      </w:pPr>
    </w:p>
    <w:p w:rsidR="00590206" w:rsidP="00590206" w:rsidRDefault="00875132" w14:paraId="07E61FF5" w14:textId="6CF365DF">
      <w:pPr>
        <w:pStyle w:val="ListParagraph"/>
        <w:numPr>
          <w:ilvl w:val="2"/>
          <w:numId w:val="2"/>
        </w:numPr>
        <w:rPr>
          <w:sz w:val="24"/>
          <w:szCs w:val="24"/>
        </w:rPr>
      </w:pPr>
      <w:r>
        <w:rPr>
          <w:sz w:val="24"/>
          <w:szCs w:val="24"/>
        </w:rPr>
        <w:t xml:space="preserve">Is </w:t>
      </w:r>
      <w:r w:rsidRPr="00590206" w:rsidR="00021E9B">
        <w:rPr>
          <w:sz w:val="24"/>
          <w:szCs w:val="24"/>
        </w:rPr>
        <w:t>registered as a blind person in a register compiled under Section 29 of the National Assistance Act 1948; or</w:t>
      </w:r>
    </w:p>
    <w:p w:rsidR="00590206" w:rsidP="00590206" w:rsidRDefault="00875132" w14:paraId="10E4EC07" w14:textId="765F9D12">
      <w:pPr>
        <w:pStyle w:val="ListParagraph"/>
        <w:numPr>
          <w:ilvl w:val="2"/>
          <w:numId w:val="2"/>
        </w:numPr>
        <w:rPr>
          <w:sz w:val="24"/>
          <w:szCs w:val="24"/>
        </w:rPr>
      </w:pPr>
      <w:r>
        <w:rPr>
          <w:sz w:val="24"/>
          <w:szCs w:val="24"/>
        </w:rPr>
        <w:t>I</w:t>
      </w:r>
      <w:r w:rsidRPr="00590206" w:rsidR="007F10BC">
        <w:rPr>
          <w:sz w:val="24"/>
          <w:szCs w:val="24"/>
        </w:rPr>
        <w:t>s deaf, in respect of a dog trained for death people and upon which he or she relies for assistance; or</w:t>
      </w:r>
    </w:p>
    <w:p w:rsidR="00021E9B" w:rsidP="00590206" w:rsidRDefault="00875132" w14:paraId="3DE1821F" w14:textId="703E4E97">
      <w:pPr>
        <w:pStyle w:val="ListParagraph"/>
        <w:numPr>
          <w:ilvl w:val="2"/>
          <w:numId w:val="2"/>
        </w:numPr>
        <w:rPr>
          <w:sz w:val="24"/>
          <w:szCs w:val="24"/>
        </w:rPr>
      </w:pPr>
      <w:r>
        <w:rPr>
          <w:sz w:val="24"/>
          <w:szCs w:val="24"/>
        </w:rPr>
        <w:t>H</w:t>
      </w:r>
      <w:r w:rsidRPr="00590206" w:rsidR="00021E9B">
        <w:rPr>
          <w:sz w:val="24"/>
          <w:szCs w:val="24"/>
        </w:rPr>
        <w:t>as a disability that affects their mobility, manual dexterity, physical coordination or ability to lift, carry or otherwise move everyday objects, in respect of a dog trained by a registered charity and upon which they rely for assistance.</w:t>
      </w:r>
    </w:p>
    <w:p w:rsidRPr="00590206" w:rsidR="004E3039" w:rsidP="004E3039" w:rsidRDefault="004E3039" w14:paraId="2A91C2DF" w14:textId="77777777">
      <w:pPr>
        <w:pStyle w:val="ListParagraph"/>
        <w:ind w:left="1800"/>
        <w:rPr>
          <w:sz w:val="24"/>
          <w:szCs w:val="24"/>
        </w:rPr>
      </w:pPr>
    </w:p>
    <w:p w:rsidRPr="004E3039" w:rsidR="004E3039" w:rsidP="004E3039" w:rsidRDefault="005F34A4" w14:paraId="150B66EE" w14:textId="307796A2">
      <w:pPr>
        <w:pStyle w:val="ListParagraph"/>
        <w:numPr>
          <w:ilvl w:val="0"/>
          <w:numId w:val="2"/>
        </w:numPr>
        <w:rPr>
          <w:b/>
          <w:bCs/>
          <w:sz w:val="24"/>
          <w:szCs w:val="24"/>
        </w:rPr>
      </w:pPr>
      <w:r w:rsidRPr="004E3039">
        <w:rPr>
          <w:b/>
          <w:bCs/>
          <w:sz w:val="24"/>
          <w:szCs w:val="24"/>
        </w:rPr>
        <w:t>For the purposes of this Order</w:t>
      </w:r>
    </w:p>
    <w:p w:rsidRPr="004E3039" w:rsidR="004E3039" w:rsidP="004E3039" w:rsidRDefault="004E3039" w14:paraId="76DA9074" w14:textId="77777777">
      <w:pPr>
        <w:pStyle w:val="ListParagraph"/>
        <w:ind w:left="360"/>
        <w:rPr>
          <w:sz w:val="24"/>
          <w:szCs w:val="24"/>
        </w:rPr>
      </w:pPr>
    </w:p>
    <w:p w:rsidR="004E3039" w:rsidP="00021E9B" w:rsidRDefault="00021E9B" w14:paraId="2D8FFBA7" w14:textId="40C25F39">
      <w:pPr>
        <w:pStyle w:val="ListParagraph"/>
        <w:numPr>
          <w:ilvl w:val="1"/>
          <w:numId w:val="2"/>
        </w:numPr>
        <w:rPr>
          <w:sz w:val="24"/>
          <w:szCs w:val="24"/>
        </w:rPr>
      </w:pPr>
      <w:r w:rsidRPr="004E3039">
        <w:rPr>
          <w:sz w:val="24"/>
          <w:szCs w:val="24"/>
        </w:rPr>
        <w:t>A person who habitually has a dog in their possession shall be considered in c</w:t>
      </w:r>
      <w:r w:rsidRPr="004E3039" w:rsidR="005F34A4">
        <w:rPr>
          <w:sz w:val="24"/>
          <w:szCs w:val="24"/>
        </w:rPr>
        <w:t xml:space="preserve">harge </w:t>
      </w:r>
      <w:r w:rsidRPr="004E3039">
        <w:rPr>
          <w:sz w:val="24"/>
          <w:szCs w:val="24"/>
        </w:rPr>
        <w:t>of the dog at any time unless at that time another person is in c</w:t>
      </w:r>
      <w:r w:rsidRPr="004E3039" w:rsidR="005F34A4">
        <w:rPr>
          <w:sz w:val="24"/>
          <w:szCs w:val="24"/>
        </w:rPr>
        <w:t xml:space="preserve">harge </w:t>
      </w:r>
      <w:r w:rsidRPr="004E3039">
        <w:rPr>
          <w:sz w:val="24"/>
          <w:szCs w:val="24"/>
        </w:rPr>
        <w:t>of the dog.</w:t>
      </w:r>
    </w:p>
    <w:p w:rsidR="004E3039" w:rsidP="004E3039" w:rsidRDefault="004E3039" w14:paraId="7BCBEB10" w14:textId="77777777">
      <w:pPr>
        <w:pStyle w:val="ListParagraph"/>
        <w:ind w:left="1080"/>
        <w:rPr>
          <w:sz w:val="24"/>
          <w:szCs w:val="24"/>
        </w:rPr>
      </w:pPr>
    </w:p>
    <w:p w:rsidR="004E3039" w:rsidP="00021E9B" w:rsidRDefault="00021E9B" w14:paraId="3B953DEE" w14:textId="77777777">
      <w:pPr>
        <w:pStyle w:val="ListParagraph"/>
        <w:numPr>
          <w:ilvl w:val="1"/>
          <w:numId w:val="2"/>
        </w:numPr>
        <w:rPr>
          <w:sz w:val="24"/>
          <w:szCs w:val="24"/>
        </w:rPr>
      </w:pPr>
      <w:r w:rsidRPr="004E3039">
        <w:rPr>
          <w:sz w:val="24"/>
          <w:szCs w:val="24"/>
        </w:rPr>
        <w:t>Placing dog faeces in a suitable waste disposal receptacle shall be considered sufficient removal to satisfy the requirement of Article 3.</w:t>
      </w:r>
    </w:p>
    <w:p w:rsidRPr="004E3039" w:rsidR="004E3039" w:rsidP="004E3039" w:rsidRDefault="004E3039" w14:paraId="67759E9D" w14:textId="77777777">
      <w:pPr>
        <w:pStyle w:val="ListParagraph"/>
        <w:rPr>
          <w:sz w:val="24"/>
          <w:szCs w:val="24"/>
        </w:rPr>
      </w:pPr>
    </w:p>
    <w:p w:rsidR="004E3039" w:rsidP="004E3039" w:rsidRDefault="00021E9B" w14:paraId="684FF778" w14:textId="61B33C33">
      <w:pPr>
        <w:pStyle w:val="ListParagraph"/>
        <w:numPr>
          <w:ilvl w:val="1"/>
          <w:numId w:val="2"/>
        </w:numPr>
        <w:rPr>
          <w:sz w:val="24"/>
          <w:szCs w:val="24"/>
        </w:rPr>
      </w:pPr>
      <w:r w:rsidRPr="004E3039">
        <w:rPr>
          <w:sz w:val="24"/>
          <w:szCs w:val="24"/>
        </w:rPr>
        <w:t>The Council does not consider being unaware of dog defecation (whether by reason of not being in the vicinity or otherwise), or not having a device for or other suitable means of removing the faeces as an acceptable reason for failing to remove the faeces as require by Article 3.</w:t>
      </w:r>
    </w:p>
    <w:p w:rsidRPr="004E3039" w:rsidR="004E3039" w:rsidP="004E3039" w:rsidRDefault="004E3039" w14:paraId="4A5D9D46" w14:textId="77777777">
      <w:pPr>
        <w:pStyle w:val="ListParagraph"/>
        <w:rPr>
          <w:sz w:val="24"/>
          <w:szCs w:val="24"/>
        </w:rPr>
      </w:pPr>
    </w:p>
    <w:p w:rsidRPr="004E3039" w:rsidR="004E3039" w:rsidP="004E3039" w:rsidRDefault="00021E9B" w14:paraId="701BA16A" w14:textId="76424914">
      <w:pPr>
        <w:pStyle w:val="ListParagraph"/>
        <w:numPr>
          <w:ilvl w:val="0"/>
          <w:numId w:val="2"/>
        </w:numPr>
        <w:rPr>
          <w:b/>
          <w:bCs/>
          <w:sz w:val="24"/>
          <w:szCs w:val="24"/>
        </w:rPr>
      </w:pPr>
      <w:r w:rsidRPr="004E3039">
        <w:rPr>
          <w:b/>
          <w:bCs/>
          <w:sz w:val="24"/>
          <w:szCs w:val="24"/>
        </w:rPr>
        <w:t>Offences</w:t>
      </w:r>
    </w:p>
    <w:p w:rsidRPr="004E3039" w:rsidR="004E3039" w:rsidP="004E3039" w:rsidRDefault="004E3039" w14:paraId="67FA6A2A" w14:textId="77777777">
      <w:pPr>
        <w:pStyle w:val="ListParagraph"/>
        <w:ind w:left="360"/>
        <w:rPr>
          <w:sz w:val="24"/>
          <w:szCs w:val="24"/>
        </w:rPr>
      </w:pPr>
    </w:p>
    <w:p w:rsidR="004E3039" w:rsidP="00021E9B" w:rsidRDefault="007F10BC" w14:paraId="415CC5F3" w14:textId="1F22C04A">
      <w:pPr>
        <w:pStyle w:val="ListParagraph"/>
        <w:numPr>
          <w:ilvl w:val="1"/>
          <w:numId w:val="2"/>
        </w:numPr>
        <w:rPr>
          <w:sz w:val="24"/>
          <w:szCs w:val="24"/>
        </w:rPr>
      </w:pPr>
      <w:r w:rsidRPr="004E3039">
        <w:rPr>
          <w:sz w:val="24"/>
          <w:szCs w:val="24"/>
        </w:rPr>
        <w:t xml:space="preserve">Under </w:t>
      </w:r>
      <w:r w:rsidRPr="004E3039" w:rsidR="00021E9B">
        <w:rPr>
          <w:sz w:val="24"/>
          <w:szCs w:val="24"/>
        </w:rPr>
        <w:t xml:space="preserve">section 67 of the Act, it is an offence for a person, without reasonable excuse, to do anything that the person is prohibited from doing by </w:t>
      </w:r>
      <w:r w:rsidRPr="004E3039" w:rsidR="005F34A4">
        <w:rPr>
          <w:sz w:val="24"/>
          <w:szCs w:val="24"/>
        </w:rPr>
        <w:t xml:space="preserve">a public space protection order </w:t>
      </w:r>
      <w:r w:rsidRPr="004E3039" w:rsidR="00021E9B">
        <w:rPr>
          <w:sz w:val="24"/>
          <w:szCs w:val="24"/>
        </w:rPr>
        <w:t xml:space="preserve">or </w:t>
      </w:r>
      <w:r w:rsidRPr="004E3039">
        <w:rPr>
          <w:sz w:val="24"/>
          <w:szCs w:val="24"/>
        </w:rPr>
        <w:t xml:space="preserve">to </w:t>
      </w:r>
      <w:r w:rsidRPr="004E3039" w:rsidR="00021E9B">
        <w:rPr>
          <w:sz w:val="24"/>
          <w:szCs w:val="24"/>
        </w:rPr>
        <w:t xml:space="preserve">fail to comply with a requirement </w:t>
      </w:r>
      <w:r w:rsidRPr="004E3039">
        <w:rPr>
          <w:sz w:val="24"/>
          <w:szCs w:val="24"/>
        </w:rPr>
        <w:t xml:space="preserve">to which the person is subject under </w:t>
      </w:r>
      <w:r w:rsidRPr="004E3039" w:rsidR="005F34A4">
        <w:rPr>
          <w:sz w:val="24"/>
          <w:szCs w:val="24"/>
        </w:rPr>
        <w:t>a public space protection o</w:t>
      </w:r>
      <w:r w:rsidRPr="004E3039" w:rsidR="00021E9B">
        <w:rPr>
          <w:sz w:val="24"/>
          <w:szCs w:val="24"/>
        </w:rPr>
        <w:t>rder.</w:t>
      </w:r>
    </w:p>
    <w:p w:rsidR="004E3039" w:rsidP="004E3039" w:rsidRDefault="004E3039" w14:paraId="13379587" w14:textId="77777777">
      <w:pPr>
        <w:pStyle w:val="ListParagraph"/>
        <w:ind w:left="1080"/>
        <w:rPr>
          <w:sz w:val="24"/>
          <w:szCs w:val="24"/>
        </w:rPr>
      </w:pPr>
    </w:p>
    <w:p w:rsidR="004E3039" w:rsidP="00021E9B" w:rsidRDefault="005F34A4" w14:paraId="028A17D1" w14:textId="77777777">
      <w:pPr>
        <w:pStyle w:val="ListParagraph"/>
        <w:numPr>
          <w:ilvl w:val="1"/>
          <w:numId w:val="2"/>
        </w:numPr>
        <w:rPr>
          <w:sz w:val="24"/>
          <w:szCs w:val="24"/>
        </w:rPr>
      </w:pPr>
      <w:r w:rsidRPr="004E3039">
        <w:rPr>
          <w:sz w:val="24"/>
          <w:szCs w:val="24"/>
        </w:rPr>
        <w:t>A person failing to comply with a requirement or prohibition set out in Articles 3(a) or 3(b) of this Order shall be guilty of an offence unless he or she has reasonable excuse for failing to do so.</w:t>
      </w:r>
    </w:p>
    <w:p w:rsidRPr="004E3039" w:rsidR="004E3039" w:rsidP="004E3039" w:rsidRDefault="004E3039" w14:paraId="06C04E59" w14:textId="77777777">
      <w:pPr>
        <w:pStyle w:val="ListParagraph"/>
        <w:rPr>
          <w:sz w:val="24"/>
          <w:szCs w:val="24"/>
        </w:rPr>
      </w:pPr>
    </w:p>
    <w:p w:rsidR="004E3039" w:rsidP="00021E9B" w:rsidRDefault="00021E9B" w14:paraId="3B01F5CF" w14:textId="77777777">
      <w:pPr>
        <w:pStyle w:val="ListParagraph"/>
        <w:numPr>
          <w:ilvl w:val="1"/>
          <w:numId w:val="2"/>
        </w:numPr>
        <w:rPr>
          <w:sz w:val="24"/>
          <w:szCs w:val="24"/>
        </w:rPr>
      </w:pPr>
      <w:r w:rsidRPr="004E3039">
        <w:rPr>
          <w:sz w:val="24"/>
          <w:szCs w:val="24"/>
        </w:rPr>
        <w:lastRenderedPageBreak/>
        <w:t>A person guilty of an offence is liable on summary conviction to a fine not exceeding Level 3 on the standard scale.</w:t>
      </w:r>
    </w:p>
    <w:p w:rsidRPr="004E3039" w:rsidR="004E3039" w:rsidP="004E3039" w:rsidRDefault="004E3039" w14:paraId="553FE7D4" w14:textId="77777777">
      <w:pPr>
        <w:pStyle w:val="ListParagraph"/>
        <w:rPr>
          <w:sz w:val="24"/>
          <w:szCs w:val="24"/>
        </w:rPr>
      </w:pPr>
    </w:p>
    <w:p w:rsidR="004E3039" w:rsidP="00021E9B" w:rsidRDefault="00021E9B" w14:paraId="0E4DDAE7" w14:textId="77777777">
      <w:pPr>
        <w:pStyle w:val="ListParagraph"/>
        <w:numPr>
          <w:ilvl w:val="1"/>
          <w:numId w:val="2"/>
        </w:numPr>
        <w:rPr>
          <w:sz w:val="24"/>
          <w:szCs w:val="24"/>
        </w:rPr>
      </w:pPr>
      <w:r w:rsidRPr="004E3039">
        <w:rPr>
          <w:sz w:val="24"/>
          <w:szCs w:val="24"/>
        </w:rPr>
        <w:t>Pursuant to section 68 of the Act, a Constable or authorised person</w:t>
      </w:r>
      <w:r w:rsidRPr="004E3039" w:rsidR="00674AB5">
        <w:rPr>
          <w:sz w:val="24"/>
          <w:szCs w:val="24"/>
        </w:rPr>
        <w:t xml:space="preserve"> of the Council</w:t>
      </w:r>
      <w:r w:rsidRPr="004E3039">
        <w:rPr>
          <w:sz w:val="24"/>
          <w:szCs w:val="24"/>
        </w:rPr>
        <w:t>, may issue a fixed penalty notice to anyone he or she has reason to believe has committed the offence</w:t>
      </w:r>
      <w:r w:rsidRPr="004E3039" w:rsidR="009F0B9C">
        <w:rPr>
          <w:sz w:val="24"/>
          <w:szCs w:val="24"/>
        </w:rPr>
        <w:t>s</w:t>
      </w:r>
      <w:r w:rsidRPr="004E3039">
        <w:rPr>
          <w:sz w:val="24"/>
          <w:szCs w:val="24"/>
        </w:rPr>
        <w:t xml:space="preserve"> specified above. This gives the person to whom it is issued the opportunity of discharging any liability to conviction for the offence by payment of a fixed penalty to the Council.</w:t>
      </w:r>
    </w:p>
    <w:p w:rsidRPr="004E3039" w:rsidR="004E3039" w:rsidP="004E3039" w:rsidRDefault="004E3039" w14:paraId="5BD38C62" w14:textId="77777777">
      <w:pPr>
        <w:pStyle w:val="ListParagraph"/>
        <w:rPr>
          <w:sz w:val="24"/>
          <w:szCs w:val="24"/>
        </w:rPr>
      </w:pPr>
    </w:p>
    <w:p w:rsidR="004E3039" w:rsidP="00021E9B" w:rsidRDefault="004E3039" w14:paraId="5EE8A88D" w14:textId="77777777">
      <w:pPr>
        <w:pStyle w:val="ListParagraph"/>
        <w:numPr>
          <w:ilvl w:val="1"/>
          <w:numId w:val="2"/>
        </w:numPr>
        <w:rPr>
          <w:sz w:val="24"/>
          <w:szCs w:val="24"/>
        </w:rPr>
      </w:pPr>
      <w:r w:rsidRPr="004E3039">
        <w:rPr>
          <w:sz w:val="24"/>
          <w:szCs w:val="24"/>
        </w:rPr>
        <w:t>T</w:t>
      </w:r>
      <w:r w:rsidRPr="004E3039" w:rsidR="009F0B9C">
        <w:rPr>
          <w:sz w:val="24"/>
          <w:szCs w:val="24"/>
        </w:rPr>
        <w:t>he level of the fixed penalty shall be £100 save that if the fixed penalty is paid within 10 days following the date of the notice the amount payable is reduced to £80.</w:t>
      </w:r>
    </w:p>
    <w:p w:rsidRPr="004E3039" w:rsidR="004E3039" w:rsidP="004E3039" w:rsidRDefault="004E3039" w14:paraId="1E972408" w14:textId="77777777">
      <w:pPr>
        <w:pStyle w:val="ListParagraph"/>
        <w:rPr>
          <w:sz w:val="24"/>
          <w:szCs w:val="24"/>
        </w:rPr>
      </w:pPr>
    </w:p>
    <w:p w:rsidR="009F0B9C" w:rsidP="00021E9B" w:rsidRDefault="009F0B9C" w14:paraId="05576F88" w14:textId="7D3A9B7D">
      <w:pPr>
        <w:pStyle w:val="ListParagraph"/>
        <w:numPr>
          <w:ilvl w:val="1"/>
          <w:numId w:val="2"/>
        </w:numPr>
        <w:rPr>
          <w:sz w:val="24"/>
          <w:szCs w:val="24"/>
        </w:rPr>
      </w:pPr>
      <w:r w:rsidRPr="004E3039">
        <w:rPr>
          <w:sz w:val="24"/>
          <w:szCs w:val="24"/>
        </w:rPr>
        <w:t xml:space="preserve">A person who pays the fixed penalty within the period </w:t>
      </w:r>
      <w:r w:rsidR="004E3039">
        <w:rPr>
          <w:sz w:val="24"/>
          <w:szCs w:val="24"/>
        </w:rPr>
        <w:t>o</w:t>
      </w:r>
      <w:r w:rsidRPr="004E3039">
        <w:rPr>
          <w:sz w:val="24"/>
          <w:szCs w:val="24"/>
        </w:rPr>
        <w:t>f 14 days following the date of the notice may not be convicted of the offence in respect of which the fixed penalty notice was issued.</w:t>
      </w:r>
    </w:p>
    <w:p w:rsidRPr="004E3039" w:rsidR="004E3039" w:rsidP="004E3039" w:rsidRDefault="004E3039" w14:paraId="6D3A4D13" w14:textId="77777777">
      <w:pPr>
        <w:pStyle w:val="ListParagraph"/>
        <w:rPr>
          <w:sz w:val="24"/>
          <w:szCs w:val="24"/>
        </w:rPr>
      </w:pPr>
    </w:p>
    <w:p w:rsidRPr="004E3039" w:rsidR="004E3039" w:rsidP="00A52CEA" w:rsidRDefault="00A52CEA" w14:paraId="1C83C8D5" w14:textId="06BC4ED7">
      <w:pPr>
        <w:pStyle w:val="ListParagraph"/>
        <w:numPr>
          <w:ilvl w:val="0"/>
          <w:numId w:val="2"/>
        </w:numPr>
        <w:rPr>
          <w:b/>
          <w:bCs/>
          <w:sz w:val="24"/>
          <w:szCs w:val="24"/>
        </w:rPr>
      </w:pPr>
      <w:r w:rsidRPr="004E3039">
        <w:rPr>
          <w:b/>
          <w:bCs/>
          <w:sz w:val="24"/>
          <w:szCs w:val="24"/>
        </w:rPr>
        <w:t>Commencement and duration of the Order</w:t>
      </w:r>
    </w:p>
    <w:p w:rsidR="004E3039" w:rsidP="004E3039" w:rsidRDefault="004E3039" w14:paraId="01293376" w14:textId="77777777">
      <w:pPr>
        <w:pStyle w:val="ListParagraph"/>
        <w:ind w:left="360"/>
        <w:rPr>
          <w:sz w:val="24"/>
          <w:szCs w:val="24"/>
        </w:rPr>
      </w:pPr>
    </w:p>
    <w:p w:rsidR="00A52CEA" w:rsidP="004E3039" w:rsidRDefault="00A52CEA" w14:paraId="4E556A12" w14:textId="602CE4CB">
      <w:pPr>
        <w:pStyle w:val="ListParagraph"/>
        <w:numPr>
          <w:ilvl w:val="1"/>
          <w:numId w:val="2"/>
        </w:numPr>
        <w:rPr>
          <w:sz w:val="24"/>
          <w:szCs w:val="24"/>
        </w:rPr>
      </w:pPr>
      <w:r w:rsidRPr="3F059AF6">
        <w:rPr>
          <w:sz w:val="24"/>
          <w:szCs w:val="24"/>
        </w:rPr>
        <w:t xml:space="preserve">This Order comes into force on </w:t>
      </w:r>
      <w:r w:rsidR="00191275">
        <w:rPr>
          <w:sz w:val="24"/>
          <w:szCs w:val="24"/>
        </w:rPr>
        <w:t>17</w:t>
      </w:r>
      <w:r w:rsidRPr="00191275" w:rsidR="00191275">
        <w:rPr>
          <w:sz w:val="24"/>
          <w:szCs w:val="24"/>
          <w:vertAlign w:val="superscript"/>
        </w:rPr>
        <w:t>th</w:t>
      </w:r>
      <w:r w:rsidR="00191275">
        <w:rPr>
          <w:sz w:val="24"/>
          <w:szCs w:val="24"/>
        </w:rPr>
        <w:t xml:space="preserve"> October 2025</w:t>
      </w:r>
      <w:r w:rsidRPr="3F059AF6">
        <w:rPr>
          <w:sz w:val="24"/>
          <w:szCs w:val="24"/>
        </w:rPr>
        <w:t xml:space="preserve"> and shall remain in force until </w:t>
      </w:r>
      <w:r w:rsidR="00191275">
        <w:rPr>
          <w:sz w:val="24"/>
          <w:szCs w:val="24"/>
        </w:rPr>
        <w:t xml:space="preserve">16 October 2028 </w:t>
      </w:r>
      <w:r w:rsidRPr="3F059AF6">
        <w:rPr>
          <w:sz w:val="24"/>
          <w:szCs w:val="24"/>
        </w:rPr>
        <w:t>unless extended under section 60 of the Act.</w:t>
      </w:r>
    </w:p>
    <w:p w:rsidRPr="004E3039" w:rsidR="004E3039" w:rsidP="004E3039" w:rsidRDefault="004E3039" w14:paraId="1D16F80E" w14:textId="77777777">
      <w:pPr>
        <w:pStyle w:val="ListParagraph"/>
        <w:ind w:left="1080"/>
        <w:rPr>
          <w:sz w:val="24"/>
          <w:szCs w:val="24"/>
        </w:rPr>
      </w:pPr>
    </w:p>
    <w:p w:rsidRPr="004E3039" w:rsidR="004E3039" w:rsidP="00021E9B" w:rsidRDefault="00021E9B" w14:paraId="464D65FA" w14:textId="224DF2C0">
      <w:pPr>
        <w:pStyle w:val="ListParagraph"/>
        <w:numPr>
          <w:ilvl w:val="0"/>
          <w:numId w:val="2"/>
        </w:numPr>
        <w:rPr>
          <w:b/>
          <w:bCs/>
          <w:sz w:val="24"/>
          <w:szCs w:val="24"/>
        </w:rPr>
      </w:pPr>
      <w:r w:rsidRPr="004E3039">
        <w:rPr>
          <w:b/>
          <w:bCs/>
          <w:sz w:val="24"/>
          <w:szCs w:val="24"/>
        </w:rPr>
        <w:t>Right to Appeal</w:t>
      </w:r>
    </w:p>
    <w:p w:rsidR="004E3039" w:rsidP="004E3039" w:rsidRDefault="004E3039" w14:paraId="23667BCE" w14:textId="77777777">
      <w:pPr>
        <w:pStyle w:val="ListParagraph"/>
        <w:ind w:left="360"/>
        <w:rPr>
          <w:sz w:val="24"/>
          <w:szCs w:val="24"/>
        </w:rPr>
      </w:pPr>
    </w:p>
    <w:p w:rsidR="004E3039" w:rsidP="00021E9B" w:rsidRDefault="00021E9B" w14:paraId="54ED72B0" w14:textId="3455AA72">
      <w:pPr>
        <w:pStyle w:val="ListParagraph"/>
        <w:numPr>
          <w:ilvl w:val="1"/>
          <w:numId w:val="2"/>
        </w:numPr>
        <w:rPr>
          <w:sz w:val="24"/>
          <w:szCs w:val="24"/>
        </w:rPr>
      </w:pPr>
      <w:r w:rsidRPr="004E3039">
        <w:rPr>
          <w:sz w:val="24"/>
          <w:szCs w:val="24"/>
        </w:rPr>
        <w:t xml:space="preserve">Any interested person wishing to challenge the validity of this Order must do so within 6 weeks beginning with the date on which this Order is made or, if applicable, varied. </w:t>
      </w:r>
    </w:p>
    <w:p w:rsidR="004E3039" w:rsidP="004E3039" w:rsidRDefault="004E3039" w14:paraId="5578AF74" w14:textId="77777777">
      <w:pPr>
        <w:pStyle w:val="ListParagraph"/>
        <w:ind w:left="1080"/>
        <w:rPr>
          <w:sz w:val="24"/>
          <w:szCs w:val="24"/>
        </w:rPr>
      </w:pPr>
    </w:p>
    <w:p w:rsidR="004E3039" w:rsidP="00021E9B" w:rsidRDefault="00021E9B" w14:paraId="346C9522" w14:textId="77777777">
      <w:pPr>
        <w:pStyle w:val="ListParagraph"/>
        <w:numPr>
          <w:ilvl w:val="1"/>
          <w:numId w:val="2"/>
        </w:numPr>
        <w:rPr>
          <w:sz w:val="24"/>
          <w:szCs w:val="24"/>
        </w:rPr>
      </w:pPr>
      <w:r w:rsidRPr="004E3039">
        <w:rPr>
          <w:sz w:val="24"/>
          <w:szCs w:val="24"/>
        </w:rPr>
        <w:t>An application under Section 66 of the Anti-Social Behaviour, Crime and Policing Act 2014 is to the High Court.</w:t>
      </w:r>
    </w:p>
    <w:p w:rsidRPr="004E3039" w:rsidR="004E3039" w:rsidP="004E3039" w:rsidRDefault="004E3039" w14:paraId="44A1FF1C" w14:textId="77777777">
      <w:pPr>
        <w:pStyle w:val="ListParagraph"/>
        <w:rPr>
          <w:sz w:val="24"/>
          <w:szCs w:val="24"/>
        </w:rPr>
      </w:pPr>
    </w:p>
    <w:p w:rsidRPr="004E3039" w:rsidR="0086679C" w:rsidP="00021E9B" w:rsidRDefault="00A52CEA" w14:paraId="7405E5D6" w14:textId="1BEB34A4">
      <w:pPr>
        <w:pStyle w:val="ListParagraph"/>
        <w:numPr>
          <w:ilvl w:val="1"/>
          <w:numId w:val="2"/>
        </w:numPr>
        <w:rPr>
          <w:sz w:val="24"/>
          <w:szCs w:val="24"/>
        </w:rPr>
      </w:pPr>
      <w:r w:rsidRPr="004E3039">
        <w:rPr>
          <w:sz w:val="24"/>
          <w:szCs w:val="24"/>
        </w:rPr>
        <w:t>An interested person means an individual who lives in the restricted area or who regularly works in or visits that area</w:t>
      </w:r>
      <w:r w:rsidR="00191275">
        <w:rPr>
          <w:sz w:val="24"/>
          <w:szCs w:val="24"/>
        </w:rPr>
        <w:t>.</w:t>
      </w:r>
    </w:p>
    <w:p w:rsidR="004E3039" w:rsidP="00021E9B" w:rsidRDefault="004E3039" w14:paraId="4A8541ED" w14:textId="77777777">
      <w:pPr>
        <w:rPr>
          <w:sz w:val="24"/>
          <w:szCs w:val="24"/>
        </w:rPr>
      </w:pPr>
    </w:p>
    <w:p w:rsidRPr="00590206" w:rsidR="0086679C" w:rsidP="00021E9B" w:rsidRDefault="00A52CEA" w14:paraId="7580B56C" w14:textId="39FD6E82">
      <w:pPr>
        <w:rPr>
          <w:sz w:val="24"/>
          <w:szCs w:val="24"/>
        </w:rPr>
      </w:pPr>
      <w:r w:rsidRPr="00590206">
        <w:rPr>
          <w:sz w:val="24"/>
          <w:szCs w:val="24"/>
        </w:rPr>
        <w:t xml:space="preserve">Dated </w:t>
      </w:r>
    </w:p>
    <w:p w:rsidRPr="00590206" w:rsidR="00A52CEA" w:rsidP="00021E9B" w:rsidRDefault="00A52CEA" w14:paraId="3EF5A8B9" w14:textId="7156A04A">
      <w:pPr>
        <w:rPr>
          <w:sz w:val="24"/>
          <w:szCs w:val="24"/>
        </w:rPr>
      </w:pPr>
    </w:p>
    <w:p w:rsidRPr="00590206" w:rsidR="00A52CEA" w:rsidP="00021E9B" w:rsidRDefault="00A52CEA" w14:paraId="235023FB" w14:textId="5200711A">
      <w:pPr>
        <w:rPr>
          <w:sz w:val="24"/>
          <w:szCs w:val="24"/>
        </w:rPr>
      </w:pPr>
      <w:r w:rsidRPr="00590206">
        <w:rPr>
          <w:sz w:val="24"/>
          <w:szCs w:val="24"/>
        </w:rPr>
        <w:t>The Common Seal of South Norfolk District Council</w:t>
      </w:r>
    </w:p>
    <w:p w:rsidRPr="00590206" w:rsidR="00A52CEA" w:rsidP="00021E9B" w:rsidRDefault="00A52CEA" w14:paraId="75FFC83C" w14:textId="6ACA2F46">
      <w:pPr>
        <w:rPr>
          <w:sz w:val="24"/>
          <w:szCs w:val="24"/>
        </w:rPr>
      </w:pPr>
      <w:r w:rsidRPr="00590206">
        <w:rPr>
          <w:sz w:val="24"/>
          <w:szCs w:val="24"/>
        </w:rPr>
        <w:t xml:space="preserve">Was hereunto affixed in the presence of </w:t>
      </w:r>
    </w:p>
    <w:p w:rsidRPr="00590206" w:rsidR="00A52CEA" w:rsidP="00021E9B" w:rsidRDefault="00A52CEA" w14:paraId="30E49C49" w14:textId="077CB95E">
      <w:pPr>
        <w:rPr>
          <w:sz w:val="24"/>
          <w:szCs w:val="24"/>
        </w:rPr>
      </w:pPr>
      <w:r w:rsidRPr="00590206">
        <w:rPr>
          <w:sz w:val="24"/>
          <w:szCs w:val="24"/>
        </w:rPr>
        <w:t xml:space="preserve">Deputy Monitoring Officer </w:t>
      </w:r>
    </w:p>
    <w:p w:rsidRPr="00590206" w:rsidR="00A52CEA" w:rsidP="00021E9B" w:rsidRDefault="00A52CEA" w14:paraId="0412D16F" w14:textId="2F5ED6A6">
      <w:pPr>
        <w:rPr>
          <w:sz w:val="24"/>
          <w:szCs w:val="24"/>
        </w:rPr>
      </w:pPr>
      <w:r w:rsidRPr="00590206">
        <w:rPr>
          <w:sz w:val="24"/>
          <w:szCs w:val="24"/>
        </w:rPr>
        <w:t>Officer of the Relevant Service</w:t>
      </w:r>
    </w:p>
    <w:sectPr w:rsidRPr="00590206" w:rsidR="00A52CE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9763" w14:textId="77777777" w:rsidR="000C0729" w:rsidRDefault="000C0729" w:rsidP="003E283D">
      <w:pPr>
        <w:spacing w:after="0" w:line="240" w:lineRule="auto"/>
      </w:pPr>
      <w:r>
        <w:separator/>
      </w:r>
    </w:p>
  </w:endnote>
  <w:endnote w:type="continuationSeparator" w:id="0">
    <w:p w14:paraId="6CE53E89" w14:textId="77777777" w:rsidR="000C0729" w:rsidRDefault="000C0729" w:rsidP="003E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587E" w14:textId="77777777" w:rsidR="003E283D" w:rsidRDefault="003E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60CD" w14:textId="77777777" w:rsidR="003E283D" w:rsidRDefault="003E2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5031" w14:textId="77777777" w:rsidR="003E283D" w:rsidRDefault="003E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68EE" w14:textId="77777777" w:rsidR="000C0729" w:rsidRDefault="000C0729" w:rsidP="003E283D">
      <w:pPr>
        <w:spacing w:after="0" w:line="240" w:lineRule="auto"/>
      </w:pPr>
      <w:r>
        <w:separator/>
      </w:r>
    </w:p>
  </w:footnote>
  <w:footnote w:type="continuationSeparator" w:id="0">
    <w:p w14:paraId="3AB713A3" w14:textId="77777777" w:rsidR="000C0729" w:rsidRDefault="000C0729" w:rsidP="003E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3ACF" w14:textId="77777777" w:rsidR="003E283D" w:rsidRDefault="003E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ACB7" w14:textId="3B5F49B9" w:rsidR="003E283D" w:rsidRDefault="003E2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25FF" w14:textId="77777777" w:rsidR="003E283D" w:rsidRDefault="003E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3B8A"/>
    <w:multiLevelType w:val="hybridMultilevel"/>
    <w:tmpl w:val="D8CCB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5736E0"/>
    <w:multiLevelType w:val="hybridMultilevel"/>
    <w:tmpl w:val="B5DC3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9A1BD4"/>
    <w:multiLevelType w:val="hybridMultilevel"/>
    <w:tmpl w:val="839EE9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DD407DE"/>
    <w:multiLevelType w:val="hybridMultilevel"/>
    <w:tmpl w:val="03AAD00E"/>
    <w:lvl w:ilvl="0" w:tplc="BF8627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ED7864"/>
    <w:multiLevelType w:val="hybridMultilevel"/>
    <w:tmpl w:val="E966B008"/>
    <w:lvl w:ilvl="0" w:tplc="0809001B">
      <w:start w:val="1"/>
      <w:numFmt w:val="lowerRoman"/>
      <w:lvlText w:val="%1."/>
      <w:lvlJc w:val="right"/>
      <w:pPr>
        <w:ind w:left="180" w:hanging="18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540" w:hanging="180"/>
      </w:pPr>
    </w:lvl>
    <w:lvl w:ilvl="3" w:tplc="0809000F" w:tentative="1">
      <w:start w:val="1"/>
      <w:numFmt w:val="decimal"/>
      <w:lvlText w:val="%4."/>
      <w:lvlJc w:val="left"/>
      <w:pPr>
        <w:ind w:left="1260" w:hanging="360"/>
      </w:pPr>
    </w:lvl>
    <w:lvl w:ilvl="4" w:tplc="08090019" w:tentative="1">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num w:numId="1" w16cid:durableId="1875999186">
    <w:abstractNumId w:val="3"/>
  </w:num>
  <w:num w:numId="2" w16cid:durableId="1467746689">
    <w:abstractNumId w:val="2"/>
  </w:num>
  <w:num w:numId="3" w16cid:durableId="1170216525">
    <w:abstractNumId w:val="4"/>
  </w:num>
  <w:num w:numId="4" w16cid:durableId="1831748320">
    <w:abstractNumId w:val="0"/>
  </w:num>
  <w:num w:numId="5" w16cid:durableId="2061131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9B"/>
    <w:rsid w:val="00021E9B"/>
    <w:rsid w:val="00061BC9"/>
    <w:rsid w:val="000C0729"/>
    <w:rsid w:val="000D5020"/>
    <w:rsid w:val="00117255"/>
    <w:rsid w:val="00191275"/>
    <w:rsid w:val="00285E27"/>
    <w:rsid w:val="003E283D"/>
    <w:rsid w:val="004E3039"/>
    <w:rsid w:val="0051131E"/>
    <w:rsid w:val="005371A2"/>
    <w:rsid w:val="00557A84"/>
    <w:rsid w:val="00590206"/>
    <w:rsid w:val="005F34A4"/>
    <w:rsid w:val="006733BC"/>
    <w:rsid w:val="00674AB5"/>
    <w:rsid w:val="00693462"/>
    <w:rsid w:val="00727635"/>
    <w:rsid w:val="00736771"/>
    <w:rsid w:val="007F10BC"/>
    <w:rsid w:val="0086679C"/>
    <w:rsid w:val="00871DB2"/>
    <w:rsid w:val="00875132"/>
    <w:rsid w:val="009F0B9C"/>
    <w:rsid w:val="00A13106"/>
    <w:rsid w:val="00A52CEA"/>
    <w:rsid w:val="00AC0945"/>
    <w:rsid w:val="00AE6AA3"/>
    <w:rsid w:val="00B66F8E"/>
    <w:rsid w:val="00CD0AF9"/>
    <w:rsid w:val="00CE3311"/>
    <w:rsid w:val="00D521DA"/>
    <w:rsid w:val="00D646C3"/>
    <w:rsid w:val="00D77A15"/>
    <w:rsid w:val="00EF44C4"/>
    <w:rsid w:val="00F30748"/>
    <w:rsid w:val="00F340F7"/>
    <w:rsid w:val="3F059AF6"/>
    <w:rsid w:val="4E73B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B158"/>
  <w15:chartTrackingRefBased/>
  <w15:docId w15:val="{CC588E92-5DA6-486F-AE93-38DE4A95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BC"/>
    <w:pPr>
      <w:ind w:left="720"/>
      <w:contextualSpacing/>
    </w:pPr>
  </w:style>
  <w:style w:type="paragraph" w:styleId="Header">
    <w:name w:val="header"/>
    <w:basedOn w:val="Normal"/>
    <w:link w:val="HeaderChar"/>
    <w:uiPriority w:val="99"/>
    <w:unhideWhenUsed/>
    <w:rsid w:val="003E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83D"/>
  </w:style>
  <w:style w:type="paragraph" w:styleId="Footer">
    <w:name w:val="footer"/>
    <w:basedOn w:val="Normal"/>
    <w:link w:val="FooterChar"/>
    <w:uiPriority w:val="99"/>
    <w:unhideWhenUsed/>
    <w:rsid w:val="003E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 PSPO Dog Control No.4</dc:title>
  <dc:subject>
  </dc:subject>
  <dc:creator>Tony Cooke</dc:creator>
  <cp:keywords>
  </cp:keywords>
  <dc:description>
  </dc:description>
  <cp:lastModifiedBy>Teri Munro-Brown</cp:lastModifiedBy>
  <cp:revision>5</cp:revision>
  <dcterms:created xsi:type="dcterms:W3CDTF">2025-06-12T10:33:00Z</dcterms:created>
  <dcterms:modified xsi:type="dcterms:W3CDTF">2025-10-09T12:36:48Z</dcterms:modified>
</cp:coreProperties>
</file>