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962B3" w:rsidR="00D962B3" w:rsidP="00D962B3" w:rsidRDefault="00D962B3" w14:paraId="4DF0703A" w14:textId="446E44F2">
      <w:pPr>
        <w:pStyle w:val="Heading2"/>
        <w:jc w:val="both"/>
        <w:rPr>
          <w:rFonts w:cs="Arial"/>
          <w:b/>
          <w:color w:val="7030A0"/>
          <w:sz w:val="24"/>
        </w:rPr>
      </w:pPr>
      <w:r w:rsidRPr="00D962B3">
        <w:rPr>
          <w:rFonts w:cs="Arial"/>
          <w:b/>
          <w:color w:val="7030A0"/>
          <w:sz w:val="24"/>
        </w:rPr>
        <w:t>LOCAL AREA PROFILE</w:t>
      </w:r>
    </w:p>
    <w:p w:rsidR="00D962B3" w:rsidP="00D962B3" w:rsidRDefault="00D962B3" w14:paraId="1C0E3C1C" w14:textId="77777777">
      <w:pPr>
        <w:jc w:val="both"/>
        <w:rPr>
          <w:rFonts w:cs="Arial"/>
        </w:rPr>
      </w:pPr>
    </w:p>
    <w:p w:rsidR="00D962B3" w:rsidP="00D962B3" w:rsidRDefault="00D962B3" w14:paraId="0EAE494A" w14:textId="41A8DDA1">
      <w:pPr>
        <w:jc w:val="both"/>
        <w:rPr>
          <w:rFonts w:cs="Arial"/>
        </w:rPr>
      </w:pPr>
      <w:r>
        <w:rPr>
          <w:rFonts w:cs="Arial"/>
          <w:bCs/>
        </w:rPr>
        <w:t>South Norfolk</w:t>
      </w:r>
      <w:r w:rsidRPr="00225D32">
        <w:rPr>
          <w:rFonts w:cs="Arial"/>
          <w:bCs/>
        </w:rPr>
        <w:t xml:space="preserve"> Council is a 2</w:t>
      </w:r>
      <w:r w:rsidRPr="00225D32">
        <w:rPr>
          <w:rFonts w:cs="Arial"/>
          <w:bCs/>
          <w:vertAlign w:val="superscript"/>
        </w:rPr>
        <w:t>nd</w:t>
      </w:r>
      <w:r w:rsidRPr="00225D32">
        <w:rPr>
          <w:rFonts w:cs="Arial"/>
          <w:bCs/>
        </w:rPr>
        <w:t xml:space="preserve"> tier authority in the County of Norfolk which incorporates six other district councils and a county council.  </w:t>
      </w:r>
    </w:p>
    <w:p w:rsidRPr="00D962B3" w:rsidR="00D962B3" w:rsidP="00D962B3" w:rsidRDefault="00D962B3" w14:paraId="228EA415" w14:textId="77777777">
      <w:pPr>
        <w:jc w:val="both"/>
        <w:rPr>
          <w:rFonts w:cs="Arial"/>
        </w:rPr>
      </w:pPr>
    </w:p>
    <w:p w:rsidRPr="00D962B3" w:rsidR="00D962B3" w:rsidP="00D962B3" w:rsidRDefault="00D962B3" w14:paraId="6924CC3F" w14:textId="064B4A86">
      <w:pPr>
        <w:jc w:val="both"/>
        <w:rPr>
          <w:rFonts w:cs="Arial"/>
        </w:rPr>
      </w:pPr>
      <w:r w:rsidRPr="00D962B3">
        <w:rPr>
          <w:rFonts w:cs="Arial"/>
        </w:rPr>
        <w:t>South Norfolk is a rural district covering approximately 90,765 hectares and with a population of over 141</w:t>
      </w:r>
      <w:r>
        <w:rPr>
          <w:rFonts w:cs="Arial"/>
        </w:rPr>
        <w:t>,</w:t>
      </w:r>
      <w:r w:rsidRPr="00D962B3">
        <w:rPr>
          <w:rFonts w:cs="Arial"/>
        </w:rPr>
        <w:t xml:space="preserve"> 900.  The district is an attractive rural area with main towns in Wymondham, Diss, Harleston, </w:t>
      </w:r>
      <w:proofErr w:type="gramStart"/>
      <w:r w:rsidRPr="00D962B3">
        <w:rPr>
          <w:rFonts w:cs="Arial"/>
        </w:rPr>
        <w:t>Loddon</w:t>
      </w:r>
      <w:proofErr w:type="gramEnd"/>
      <w:r w:rsidRPr="00D962B3">
        <w:rPr>
          <w:rFonts w:cs="Arial"/>
        </w:rPr>
        <w:t xml:space="preserve"> and Hingham as well as the parishes of Costessey and </w:t>
      </w:r>
      <w:proofErr w:type="spellStart"/>
      <w:r w:rsidRPr="00D962B3">
        <w:rPr>
          <w:rFonts w:cs="Arial"/>
        </w:rPr>
        <w:t>Cringleford</w:t>
      </w:r>
      <w:proofErr w:type="spellEnd"/>
      <w:r w:rsidRPr="00D962B3">
        <w:rPr>
          <w:rFonts w:cs="Arial"/>
        </w:rPr>
        <w:t xml:space="preserve"> on the Norwich fringe and large villages including </w:t>
      </w:r>
      <w:proofErr w:type="spellStart"/>
      <w:r w:rsidRPr="00D962B3">
        <w:rPr>
          <w:rFonts w:cs="Arial"/>
        </w:rPr>
        <w:t>Hethersett</w:t>
      </w:r>
      <w:proofErr w:type="spellEnd"/>
      <w:r w:rsidRPr="00D962B3">
        <w:rPr>
          <w:rFonts w:cs="Arial"/>
        </w:rPr>
        <w:t>, Long Stratton, Poringland and Mulbarton.  A map is provided below.</w:t>
      </w:r>
    </w:p>
    <w:p w:rsidRPr="00D962B3" w:rsidR="00D962B3" w:rsidP="00D962B3" w:rsidRDefault="00D962B3" w14:paraId="43BC7111" w14:textId="77777777">
      <w:pPr>
        <w:jc w:val="both"/>
        <w:rPr>
          <w:rFonts w:cs="Arial"/>
        </w:rPr>
      </w:pPr>
    </w:p>
    <w:p w:rsidRPr="00D72FA1" w:rsidR="00E31913" w:rsidP="00E31913" w:rsidRDefault="00E31913" w14:paraId="517F0522" w14:textId="77777777">
      <w:pPr>
        <w:jc w:val="both"/>
        <w:rPr>
          <w:rFonts w:cs="Arial"/>
        </w:rPr>
      </w:pPr>
      <w:r w:rsidRPr="00D72FA1">
        <w:rPr>
          <w:rFonts w:cs="Arial"/>
        </w:rPr>
        <w:t xml:space="preserve">Gambling activities within South Norfolk, as </w:t>
      </w:r>
      <w:proofErr w:type="gramStart"/>
      <w:r w:rsidRPr="00D72FA1">
        <w:rPr>
          <w:rFonts w:cs="Arial"/>
        </w:rPr>
        <w:t>at</w:t>
      </w:r>
      <w:proofErr w:type="gramEnd"/>
      <w:r w:rsidRPr="00D72FA1">
        <w:rPr>
          <w:rFonts w:cs="Arial"/>
        </w:rPr>
        <w:t xml:space="preserve"> July 2024, consists of </w:t>
      </w:r>
      <w:r>
        <w:rPr>
          <w:rFonts w:cs="Arial"/>
        </w:rPr>
        <w:t>5</w:t>
      </w:r>
      <w:r w:rsidRPr="00D72FA1">
        <w:rPr>
          <w:rFonts w:cs="Arial"/>
        </w:rPr>
        <w:t xml:space="preserve"> betting shops, 1 adult gaming centre and a total of </w:t>
      </w:r>
      <w:r>
        <w:rPr>
          <w:rFonts w:cs="Arial"/>
        </w:rPr>
        <w:t>39</w:t>
      </w:r>
      <w:r w:rsidRPr="00D72FA1">
        <w:rPr>
          <w:rFonts w:cs="Arial"/>
        </w:rPr>
        <w:t xml:space="preserve"> premises with a premises licence authorising the sale of alcohol where gaming machines have been provided by way of notification or permit.  There are </w:t>
      </w:r>
      <w:r>
        <w:rPr>
          <w:rFonts w:cs="Arial"/>
        </w:rPr>
        <w:t>5</w:t>
      </w:r>
      <w:r w:rsidRPr="00D72FA1">
        <w:rPr>
          <w:rFonts w:cs="Arial"/>
        </w:rPr>
        <w:t xml:space="preserve"> clubs that hold club machine/gaming permits and there are </w:t>
      </w:r>
      <w:r>
        <w:rPr>
          <w:rFonts w:cs="Arial"/>
        </w:rPr>
        <w:t>186</w:t>
      </w:r>
      <w:r w:rsidRPr="00D72FA1">
        <w:rPr>
          <w:rFonts w:cs="Arial"/>
        </w:rPr>
        <w:t xml:space="preserve"> small society lotteries.</w:t>
      </w:r>
    </w:p>
    <w:p w:rsidRPr="00D72FA1" w:rsidR="00E31913" w:rsidP="00E31913" w:rsidRDefault="00E31913" w14:paraId="10F4C5D1" w14:textId="77777777">
      <w:pPr>
        <w:jc w:val="both"/>
        <w:rPr>
          <w:rFonts w:cs="Arial"/>
        </w:rPr>
      </w:pPr>
    </w:p>
    <w:p w:rsidRPr="00D72FA1" w:rsidR="00E31913" w:rsidP="00E31913" w:rsidRDefault="00E31913" w14:paraId="19559BF3" w14:textId="77777777">
      <w:pPr>
        <w:jc w:val="both"/>
        <w:rPr>
          <w:rFonts w:cs="Arial"/>
        </w:rPr>
      </w:pPr>
      <w:r w:rsidRPr="00D72FA1">
        <w:rPr>
          <w:rFonts w:cs="Arial"/>
        </w:rPr>
        <w:t>Currently it is not felt that there are any significant concerns relating to gambling premises within the South Norfolk district.</w:t>
      </w:r>
    </w:p>
    <w:p w:rsidRPr="00D72FA1" w:rsidR="00E31913" w:rsidP="00E31913" w:rsidRDefault="00E31913" w14:paraId="044C7586" w14:textId="77777777">
      <w:pPr>
        <w:jc w:val="both"/>
        <w:rPr>
          <w:rFonts w:cs="Arial"/>
        </w:rPr>
      </w:pPr>
    </w:p>
    <w:p w:rsidRPr="00D72FA1" w:rsidR="00E31913" w:rsidP="00E31913" w:rsidRDefault="00E31913" w14:paraId="04454AA8" w14:textId="77777777">
      <w:pPr>
        <w:jc w:val="both"/>
        <w:rPr>
          <w:rFonts w:cs="Arial"/>
        </w:rPr>
      </w:pPr>
      <w:r w:rsidRPr="00D72FA1">
        <w:rPr>
          <w:rFonts w:cs="Arial"/>
        </w:rPr>
        <w:t>The Council appreciates the potential risks from gambling activities in relation to young and vulnerable persons, therefore operators and applicants should take the following factors into consideration when submitting applications and compiling premises-based risk assessments.</w:t>
      </w:r>
    </w:p>
    <w:p w:rsidRPr="00D72FA1" w:rsidR="00E31913" w:rsidP="00E31913" w:rsidRDefault="00E31913" w14:paraId="714DD29D" w14:textId="77777777">
      <w:pPr>
        <w:jc w:val="both"/>
        <w:rPr>
          <w:rFonts w:cs="Arial"/>
        </w:rPr>
      </w:pPr>
    </w:p>
    <w:p w:rsidRPr="00676A3C" w:rsidR="00E31913" w:rsidP="00E31913" w:rsidRDefault="00E31913" w14:paraId="5195CB18" w14:textId="77777777">
      <w:pPr>
        <w:numPr>
          <w:ilvl w:val="0"/>
          <w:numId w:val="1"/>
        </w:numPr>
        <w:autoSpaceDE/>
        <w:autoSpaceDN/>
        <w:adjustRightInd/>
        <w:contextualSpacing/>
        <w:jc w:val="both"/>
        <w:rPr>
          <w:rFonts w:cs="Arial"/>
        </w:rPr>
      </w:pPr>
      <w:bookmarkStart w:name="_Hlk170396421" w:id="0"/>
      <w:r w:rsidRPr="00676A3C">
        <w:rPr>
          <w:rFonts w:cs="Arial"/>
        </w:rPr>
        <w:t xml:space="preserve">Temporary accommodation for homeless persons </w:t>
      </w:r>
      <w:proofErr w:type="gramStart"/>
      <w:r w:rsidRPr="00676A3C">
        <w:rPr>
          <w:rFonts w:cs="Arial"/>
        </w:rPr>
        <w:t>are</w:t>
      </w:r>
      <w:proofErr w:type="gramEnd"/>
      <w:r w:rsidRPr="00676A3C">
        <w:rPr>
          <w:rFonts w:cs="Arial"/>
        </w:rPr>
        <w:t xml:space="preserve"> located in Diss, Costessey, </w:t>
      </w:r>
      <w:proofErr w:type="spellStart"/>
      <w:r w:rsidRPr="00676A3C">
        <w:rPr>
          <w:rFonts w:cs="Arial"/>
        </w:rPr>
        <w:t>Hethersett</w:t>
      </w:r>
      <w:proofErr w:type="spellEnd"/>
      <w:r w:rsidRPr="00676A3C">
        <w:rPr>
          <w:rFonts w:cs="Arial"/>
        </w:rPr>
        <w:t xml:space="preserve">, Long Stratton and Wymondham. </w:t>
      </w:r>
    </w:p>
    <w:p w:rsidRPr="00676A3C" w:rsidR="00E31913" w:rsidP="00E31913" w:rsidRDefault="00E31913" w14:paraId="7A9D2D82" w14:textId="77777777">
      <w:pPr>
        <w:numPr>
          <w:ilvl w:val="0"/>
          <w:numId w:val="1"/>
        </w:numPr>
        <w:autoSpaceDE/>
        <w:autoSpaceDN/>
        <w:adjustRightInd/>
        <w:contextualSpacing/>
        <w:jc w:val="both"/>
        <w:rPr>
          <w:rFonts w:cs="Arial"/>
        </w:rPr>
      </w:pPr>
      <w:r w:rsidRPr="00676A3C">
        <w:rPr>
          <w:rFonts w:cs="Arial"/>
        </w:rPr>
        <w:t xml:space="preserve">Providers of care for those suffering with mental health issues can be found through </w:t>
      </w:r>
      <w:hyperlink w:history="1" r:id="rId5">
        <w:r w:rsidRPr="00676A3C">
          <w:rPr>
            <w:rStyle w:val="Hyperlink"/>
            <w:rFonts w:cs="Arial"/>
          </w:rPr>
          <w:t>Norfolk County Council</w:t>
        </w:r>
      </w:hyperlink>
      <w:r w:rsidRPr="00676A3C">
        <w:rPr>
          <w:rFonts w:cs="Arial"/>
        </w:rPr>
        <w:t>.</w:t>
      </w:r>
    </w:p>
    <w:bookmarkEnd w:id="0"/>
    <w:p w:rsidRPr="00D72FA1" w:rsidR="00E31913" w:rsidP="00E31913" w:rsidRDefault="00E31913" w14:paraId="7AE7D39A" w14:textId="77777777">
      <w:pPr>
        <w:numPr>
          <w:ilvl w:val="0"/>
          <w:numId w:val="1"/>
        </w:numPr>
        <w:autoSpaceDE/>
        <w:autoSpaceDN/>
        <w:adjustRightInd/>
        <w:contextualSpacing/>
        <w:jc w:val="both"/>
        <w:rPr>
          <w:rFonts w:cs="Arial"/>
        </w:rPr>
      </w:pPr>
      <w:r w:rsidRPr="00676A3C">
        <w:rPr>
          <w:rFonts w:cs="Arial"/>
        </w:rPr>
        <w:t xml:space="preserve">Clearly there are </w:t>
      </w:r>
      <w:proofErr w:type="gramStart"/>
      <w:r w:rsidRPr="00676A3C">
        <w:rPr>
          <w:rFonts w:cs="Arial"/>
        </w:rPr>
        <w:t>a number of</w:t>
      </w:r>
      <w:proofErr w:type="gramEnd"/>
      <w:r w:rsidRPr="00676A3C">
        <w:rPr>
          <w:rFonts w:cs="Arial"/>
        </w:rPr>
        <w:t xml:space="preserve"> schools within the district, the Council would expect licence holders and applicants to take</w:t>
      </w:r>
      <w:r w:rsidRPr="00D72FA1">
        <w:rPr>
          <w:rFonts w:cs="Arial"/>
        </w:rPr>
        <w:t xml:space="preserve"> their location into consideration and ensure measures are in place to address advertising of gambling premises that may affect young persons.</w:t>
      </w:r>
    </w:p>
    <w:p w:rsidRPr="00D962B3" w:rsidR="00D962B3" w:rsidP="00D962B3" w:rsidRDefault="00D962B3" w14:paraId="0357326B" w14:textId="77777777">
      <w:pPr>
        <w:jc w:val="both"/>
        <w:rPr>
          <w:rFonts w:cs="Arial"/>
        </w:rPr>
      </w:pPr>
    </w:p>
    <w:p w:rsidRPr="00D962B3" w:rsidR="00D962B3" w:rsidP="00D962B3" w:rsidRDefault="00D962B3" w14:paraId="4335F2EF" w14:textId="77777777">
      <w:pPr>
        <w:jc w:val="both"/>
        <w:rPr>
          <w:rFonts w:cs="Arial"/>
        </w:rPr>
      </w:pPr>
      <w:r w:rsidRPr="00D962B3">
        <w:rPr>
          <w:rFonts w:cs="Arial"/>
        </w:rPr>
        <w:t xml:space="preserve">Any new gambling proposals which </w:t>
      </w:r>
      <w:proofErr w:type="gramStart"/>
      <w:r w:rsidRPr="00D962B3">
        <w:rPr>
          <w:rFonts w:cs="Arial"/>
        </w:rPr>
        <w:t>seeks</w:t>
      </w:r>
      <w:proofErr w:type="gramEnd"/>
      <w:r w:rsidRPr="00D962B3">
        <w:rPr>
          <w:rFonts w:cs="Arial"/>
        </w:rPr>
        <w:t xml:space="preserve"> to intensify gambling activities will be carefully considered and reviewed to ensure it does not significantly alter, adversely affect or otherwise impact upon the current level of gambling activity across the district.</w:t>
      </w:r>
    </w:p>
    <w:p w:rsidR="00D962B3" w:rsidRDefault="00D962B3" w14:paraId="07B5A048" w14:textId="1176B2C6">
      <w:pPr>
        <w:overflowPunct/>
        <w:autoSpaceDE/>
        <w:autoSpaceDN/>
        <w:adjustRightInd/>
        <w:spacing w:after="160" w:line="259" w:lineRule="auto"/>
        <w:textAlignment w:val="auto"/>
        <w:rPr>
          <w:rFonts w:cs="Arial"/>
        </w:rPr>
      </w:pPr>
      <w:r>
        <w:rPr>
          <w:rFonts w:cs="Arial"/>
        </w:rPr>
        <w:br w:type="page"/>
      </w:r>
    </w:p>
    <w:p w:rsidR="00FB5711" w:rsidP="00D962B3" w:rsidRDefault="00907E1A" w14:paraId="11B52355" w14:textId="4E38150D">
      <w:pPr>
        <w:jc w:val="both"/>
        <w:rPr>
          <w:rFonts w:cs="Arial"/>
          <w:b/>
          <w:bCs/>
          <w:color w:val="7030A0"/>
        </w:rPr>
      </w:pPr>
      <w:r w:rsidRPr="00907E1A">
        <w:rPr>
          <w:rFonts w:cs="Arial"/>
          <w:b/>
          <w:bCs/>
          <w:color w:val="7030A0"/>
        </w:rPr>
        <w:lastRenderedPageBreak/>
        <w:t>AREA MAP</w:t>
      </w:r>
    </w:p>
    <w:p w:rsidR="004A01B7" w:rsidP="00D962B3" w:rsidRDefault="004A01B7" w14:paraId="1DE9A3C6" w14:textId="77777777">
      <w:pPr>
        <w:jc w:val="both"/>
        <w:rPr>
          <w:rFonts w:cs="Arial"/>
          <w:b/>
          <w:bCs/>
          <w:color w:val="7030A0"/>
        </w:rPr>
      </w:pPr>
    </w:p>
    <w:p w:rsidR="004A01B7" w:rsidP="00D962B3" w:rsidRDefault="004A01B7" w14:paraId="08EB77C8" w14:textId="4C5EF5AB">
      <w:pPr>
        <w:jc w:val="both"/>
        <w:rPr>
          <w:rFonts w:cs="Arial"/>
          <w:b/>
          <w:bCs/>
          <w:color w:val="7030A0"/>
        </w:rPr>
      </w:pPr>
      <w:r w:rsidRPr="00E139C3">
        <w:rPr>
          <w:noProof/>
          <w:lang w:eastAsia="en-GB"/>
        </w:rPr>
        <w:drawing>
          <wp:inline distT="0" distB="0" distL="0" distR="0" wp14:anchorId="72037BEE" wp14:editId="5FD0A69C">
            <wp:extent cx="5731510" cy="4156710"/>
            <wp:effectExtent l="0" t="0" r="2540" b="0"/>
            <wp:docPr id="33" name="image3.jpeg" descr="South Norfolk administrative area" title="Map of the South Norfolk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4156710"/>
                    </a:xfrm>
                    <a:prstGeom prst="rect">
                      <a:avLst/>
                    </a:prstGeom>
                  </pic:spPr>
                </pic:pic>
              </a:graphicData>
            </a:graphic>
          </wp:inline>
        </w:drawing>
      </w:r>
    </w:p>
    <w:p w:rsidRPr="00907E1A" w:rsidR="004A01B7" w:rsidP="00D962B3" w:rsidRDefault="004A01B7" w14:paraId="3ABF0BE5" w14:textId="77777777">
      <w:pPr>
        <w:jc w:val="both"/>
        <w:rPr>
          <w:rFonts w:cs="Arial"/>
          <w:b/>
          <w:bCs/>
        </w:rPr>
      </w:pPr>
    </w:p>
    <w:sectPr w:rsidRPr="00907E1A" w:rsidR="004A01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74411"/>
    <w:multiLevelType w:val="hybridMultilevel"/>
    <w:tmpl w:val="2B583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5700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2B3"/>
    <w:rsid w:val="004A01B7"/>
    <w:rsid w:val="00907E1A"/>
    <w:rsid w:val="00D962B3"/>
    <w:rsid w:val="00E31913"/>
    <w:rsid w:val="00FB5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D2939"/>
  <w15:chartTrackingRefBased/>
  <w15:docId w15:val="{94CD5F3D-3944-4202-8A06-3EB2E86A2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2B3"/>
    <w:pPr>
      <w:overflowPunct w:val="0"/>
      <w:autoSpaceDE w:val="0"/>
      <w:autoSpaceDN w:val="0"/>
      <w:adjustRightInd w:val="0"/>
      <w:spacing w:after="0" w:line="240" w:lineRule="auto"/>
      <w:textAlignment w:val="baseline"/>
    </w:pPr>
    <w:rPr>
      <w:rFonts w:ascii="Arial" w:eastAsia="Times New Roman" w:hAnsi="Arial" w:cs="Times New Roman"/>
      <w:kern w:val="0"/>
      <w:sz w:val="24"/>
      <w:szCs w:val="24"/>
      <w14:ligatures w14:val="none"/>
    </w:rPr>
  </w:style>
  <w:style w:type="paragraph" w:styleId="Heading2">
    <w:name w:val="heading 2"/>
    <w:basedOn w:val="Normal"/>
    <w:next w:val="Normal"/>
    <w:link w:val="Heading2Char"/>
    <w:qFormat/>
    <w:rsid w:val="00D962B3"/>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962B3"/>
    <w:rPr>
      <w:rFonts w:ascii="Arial" w:eastAsia="Times New Roman" w:hAnsi="Arial" w:cs="Times New Roman"/>
      <w:kern w:val="0"/>
      <w:sz w:val="28"/>
      <w:szCs w:val="24"/>
      <w14:ligatures w14:val="none"/>
    </w:rPr>
  </w:style>
  <w:style w:type="paragraph" w:styleId="ListParagraph">
    <w:name w:val="List Paragraph"/>
    <w:basedOn w:val="Normal"/>
    <w:uiPriority w:val="34"/>
    <w:qFormat/>
    <w:rsid w:val="00D962B3"/>
    <w:pPr>
      <w:overflowPunct/>
      <w:autoSpaceDE/>
      <w:autoSpaceDN/>
      <w:adjustRightInd/>
      <w:ind w:left="720"/>
      <w:contextualSpacing/>
      <w:textAlignment w:val="auto"/>
    </w:pPr>
    <w:rPr>
      <w:rFonts w:cs="Arial"/>
      <w:sz w:val="22"/>
    </w:rPr>
  </w:style>
  <w:style w:type="character" w:styleId="Hyperlink">
    <w:name w:val="Hyperlink"/>
    <w:rsid w:val="00D962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norfolk.gov.uk/article/41757/Health-and-wellbe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SNC Local Area Profile</dc:title>
  <dc:subject>
  </dc:subject>
  <dc:creator>Amanda Cox</dc:creator>
  <cp:keywords>
  </cp:keywords>
  <dc:description>
  </dc:description>
  <cp:lastModifiedBy>Amanda Cox</cp:lastModifiedBy>
  <cp:revision>4</cp:revision>
  <dcterms:created xsi:type="dcterms:W3CDTF">2024-07-11T12:51:00Z</dcterms:created>
  <dcterms:modified xsi:type="dcterms:W3CDTF">2025-06-20T12:06:42Z</dcterms:modified>
</cp:coreProperties>
</file>