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816C89" w:rsidP="00AA03DA" w:rsidRDefault="00816C89" w14:paraId="6D9F8EC4" w14:textId="48FA209E">
      <w:pPr>
        <w:pStyle w:val="Heading1"/>
        <w:jc w:val="center"/>
        <w:rPr>
          <w:rFonts w:ascii="Arial" w:hAnsi="Arial"/>
          <w:b/>
          <w:bCs/>
          <w:color w:val="003A60"/>
          <w:spacing w:val="5"/>
          <w:kern w:val="28"/>
          <w:sz w:val="36"/>
          <w:szCs w:val="36"/>
        </w:rPr>
      </w:pPr>
      <w:r w:rsidRPr="00816C89">
        <w:rPr>
          <w:rFonts w:ascii="Arial" w:hAnsi="Arial"/>
          <w:b/>
          <w:bCs/>
          <w:color w:val="003A60"/>
          <w:spacing w:val="5"/>
          <w:kern w:val="28"/>
          <w:sz w:val="36"/>
          <w:szCs w:val="36"/>
        </w:rPr>
        <w:drawing>
          <wp:anchor distT="0" distB="0" distL="114300" distR="114300" simplePos="0" relativeHeight="251658240" behindDoc="1" locked="0" layoutInCell="1" allowOverlap="1" wp14:editId="6096B359" wp14:anchorId="638B291F">
            <wp:simplePos x="0" y="0"/>
            <wp:positionH relativeFrom="column">
              <wp:posOffset>-23660</wp:posOffset>
            </wp:positionH>
            <wp:positionV relativeFrom="paragraph">
              <wp:posOffset>-168201</wp:posOffset>
            </wp:positionV>
            <wp:extent cx="2026217" cy="564186"/>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026217" cy="564186"/>
                    </a:xfrm>
                    <a:prstGeom prst="rect">
                      <a:avLst/>
                    </a:prstGeom>
                  </pic:spPr>
                </pic:pic>
              </a:graphicData>
            </a:graphic>
          </wp:anchor>
        </w:drawing>
      </w:r>
    </w:p>
    <w:p w:rsidRPr="00816C89" w:rsidR="00B75A60" w:rsidP="00AA03DA" w:rsidRDefault="008237D6" w14:paraId="1454C78D" w14:textId="773F0D9C">
      <w:pPr>
        <w:pStyle w:val="Heading1"/>
        <w:jc w:val="center"/>
        <w:rPr>
          <w:rFonts w:ascii="Arial" w:hAnsi="Arial"/>
          <w:b/>
          <w:bCs/>
          <w:color w:val="003A60"/>
          <w:spacing w:val="5"/>
          <w:kern w:val="28"/>
          <w:sz w:val="36"/>
          <w:szCs w:val="36"/>
        </w:rPr>
      </w:pPr>
      <w:r w:rsidRPr="00816C89">
        <w:rPr>
          <w:rFonts w:ascii="Arial" w:hAnsi="Arial"/>
          <w:b/>
          <w:bCs/>
          <w:color w:val="003A60"/>
          <w:spacing w:val="5"/>
          <w:kern w:val="28"/>
          <w:sz w:val="36"/>
          <w:szCs w:val="36"/>
        </w:rPr>
        <w:t>Equality</w:t>
      </w:r>
      <w:r w:rsidRPr="00816C89" w:rsidR="00E33B22">
        <w:rPr>
          <w:rFonts w:ascii="Arial" w:hAnsi="Arial"/>
          <w:b/>
          <w:bCs/>
          <w:color w:val="003A60"/>
          <w:spacing w:val="5"/>
          <w:kern w:val="28"/>
          <w:sz w:val="36"/>
          <w:szCs w:val="36"/>
        </w:rPr>
        <w:t xml:space="preserve"> </w:t>
      </w:r>
      <w:r w:rsidRPr="00816C89" w:rsidR="00C957AD">
        <w:rPr>
          <w:rFonts w:ascii="Arial" w:hAnsi="Arial"/>
          <w:b/>
          <w:bCs/>
          <w:color w:val="003A60"/>
          <w:spacing w:val="5"/>
          <w:kern w:val="28"/>
          <w:sz w:val="36"/>
          <w:szCs w:val="36"/>
        </w:rPr>
        <w:t>Objectives</w:t>
      </w:r>
      <w:r w:rsidRPr="00816C89">
        <w:rPr>
          <w:rFonts w:ascii="Arial" w:hAnsi="Arial"/>
          <w:b/>
          <w:bCs/>
          <w:color w:val="003A60"/>
          <w:spacing w:val="5"/>
          <w:kern w:val="28"/>
          <w:sz w:val="36"/>
          <w:szCs w:val="36"/>
        </w:rPr>
        <w:t xml:space="preserve"> </w:t>
      </w:r>
      <w:r w:rsidRPr="00816C89" w:rsidR="008E1368">
        <w:rPr>
          <w:rFonts w:ascii="Arial" w:hAnsi="Arial"/>
          <w:b/>
          <w:bCs/>
          <w:color w:val="003A60"/>
          <w:spacing w:val="5"/>
          <w:kern w:val="28"/>
          <w:sz w:val="36"/>
          <w:szCs w:val="36"/>
        </w:rPr>
        <w:t>and Actions</w:t>
      </w:r>
      <w:r w:rsidRPr="00816C89" w:rsidR="00AA03DA">
        <w:rPr>
          <w:rFonts w:ascii="Arial" w:hAnsi="Arial"/>
          <w:b/>
          <w:bCs/>
          <w:color w:val="003A60"/>
          <w:spacing w:val="5"/>
          <w:kern w:val="28"/>
          <w:sz w:val="36"/>
          <w:szCs w:val="36"/>
        </w:rPr>
        <w:t xml:space="preserve"> </w:t>
      </w:r>
      <w:r w:rsidRPr="00816C89" w:rsidR="004453BD">
        <w:rPr>
          <w:rFonts w:ascii="Arial" w:hAnsi="Arial"/>
          <w:b/>
          <w:bCs/>
          <w:color w:val="003A60"/>
          <w:spacing w:val="5"/>
          <w:kern w:val="28"/>
          <w:sz w:val="36"/>
          <w:szCs w:val="36"/>
        </w:rPr>
        <w:t>2024 - 2028</w:t>
      </w:r>
    </w:p>
    <w:p w:rsidRPr="007A56EC" w:rsidR="007A56EC" w:rsidP="00E50076" w:rsidRDefault="007A56EC" w14:paraId="46717667" w14:textId="77777777">
      <w:pPr>
        <w:jc w:val="both"/>
        <w:rPr>
          <w:rFonts w:ascii="Arial" w:hAnsi="Arial" w:cs="Arial"/>
          <w:sz w:val="12"/>
          <w:szCs w:val="12"/>
        </w:rPr>
      </w:pPr>
    </w:p>
    <w:p w:rsidRPr="005533DA" w:rsidR="00E93AC2" w:rsidP="00E50076" w:rsidRDefault="005533DA" w14:paraId="7006FF02" w14:textId="50F41336">
      <w:pPr>
        <w:jc w:val="both"/>
        <w:rPr>
          <w:rFonts w:ascii="Arial" w:hAnsi="Arial" w:cs="Arial"/>
        </w:rPr>
      </w:pPr>
      <w:r w:rsidRPr="005533DA">
        <w:rPr>
          <w:rFonts w:ascii="Arial" w:hAnsi="Arial" w:cs="Arial"/>
        </w:rPr>
        <w:t>A number of equality objectives have been developed to support our </w:t>
      </w:r>
      <w:r w:rsidR="00F35BF2">
        <w:rPr>
          <w:rFonts w:ascii="Arial" w:hAnsi="Arial" w:cs="Arial"/>
        </w:rPr>
        <w:t>Strategic Plan.</w:t>
      </w:r>
      <w:r w:rsidRPr="005533DA">
        <w:rPr>
          <w:rFonts w:ascii="Arial" w:hAnsi="Arial" w:cs="Arial"/>
        </w:rPr>
        <w:t xml:space="preserve"> The </w:t>
      </w:r>
      <w:r w:rsidR="00F35BF2">
        <w:rPr>
          <w:rFonts w:ascii="Arial" w:hAnsi="Arial" w:cs="Arial"/>
        </w:rPr>
        <w:t xml:space="preserve">Plan </w:t>
      </w:r>
      <w:r w:rsidRPr="005533DA">
        <w:rPr>
          <w:rFonts w:ascii="Arial" w:hAnsi="Arial" w:cs="Arial"/>
        </w:rPr>
        <w:t>defines our priorities for the next four years.</w:t>
      </w:r>
    </w:p>
    <w:p w:rsidR="00C957AD" w:rsidP="00E50076" w:rsidRDefault="00E93AC2" w14:paraId="13782DCA" w14:textId="1116BA7B">
      <w:pPr>
        <w:jc w:val="both"/>
        <w:rPr>
          <w:rFonts w:ascii="Arial" w:hAnsi="Arial" w:cs="Arial"/>
        </w:rPr>
      </w:pPr>
      <w:r w:rsidRPr="57575B3A">
        <w:rPr>
          <w:rFonts w:ascii="Arial" w:hAnsi="Arial" w:cs="Arial"/>
        </w:rPr>
        <w:t>These equality objectives cut across the services we provide as a District Council. In the period between 2024-2028, we will deliver our objectives through projects, policies and strategies that shape how we deliver services. Where we are not direct providers of services which impact on our communities, we will work with our partners and other organisations to improve equality and the health and wellbeing of</w:t>
      </w:r>
      <w:r w:rsidRPr="57575B3A" w:rsidR="50C63A85">
        <w:rPr>
          <w:rFonts w:ascii="Arial" w:hAnsi="Arial" w:cs="Arial"/>
        </w:rPr>
        <w:t xml:space="preserve"> residents and visitors to </w:t>
      </w:r>
      <w:r w:rsidRPr="57575B3A">
        <w:rPr>
          <w:rFonts w:ascii="Arial" w:hAnsi="Arial" w:cs="Arial"/>
        </w:rPr>
        <w:t>our District.</w:t>
      </w:r>
    </w:p>
    <w:p w:rsidRPr="00E93AC2" w:rsidR="006A3785" w:rsidP="00E50076" w:rsidRDefault="006A3785" w14:paraId="185F3E8B" w14:textId="6913FB81">
      <w:pPr>
        <w:jc w:val="both"/>
        <w:rPr>
          <w:rFonts w:ascii="Arial" w:hAnsi="Arial" w:cs="Arial"/>
        </w:rPr>
      </w:pPr>
      <w:r w:rsidRPr="006A3785">
        <w:rPr>
          <w:rFonts w:ascii="Arial" w:hAnsi="Arial" w:cs="Arial"/>
        </w:rPr>
        <w:t>We will report on the progress we are making each year</w:t>
      </w:r>
      <w:r w:rsidR="00487D1C">
        <w:rPr>
          <w:rFonts w:ascii="Arial" w:hAnsi="Arial" w:cs="Arial"/>
        </w:rPr>
        <w:t xml:space="preserve"> through the Annual Report</w:t>
      </w:r>
      <w:r w:rsidRPr="006A3785">
        <w:rPr>
          <w:rFonts w:ascii="Arial" w:hAnsi="Arial" w:cs="Arial"/>
        </w:rPr>
        <w:t>, providing an update on each of the four objectives, including how we are delivering and the outcomes.</w:t>
      </w:r>
    </w:p>
    <w:p w:rsidRPr="00771A8D" w:rsidR="00C957AD" w:rsidP="57575B3A" w:rsidRDefault="00250DEA" w14:paraId="04814F64" w14:textId="52CFE934">
      <w:pPr>
        <w:pStyle w:val="ListParagraph"/>
        <w:numPr>
          <w:ilvl w:val="0"/>
          <w:numId w:val="1"/>
        </w:numPr>
        <w:jc w:val="both"/>
        <w:rPr>
          <w:rFonts w:ascii="Arial" w:hAnsi="Arial" w:cs="Arial"/>
          <w:b/>
          <w:bCs/>
        </w:rPr>
      </w:pPr>
      <w:r w:rsidRPr="4633EB99">
        <w:rPr>
          <w:rFonts w:ascii="Arial" w:hAnsi="Arial" w:cs="Arial"/>
          <w:b/>
          <w:bCs/>
        </w:rPr>
        <w:t>Provide</w:t>
      </w:r>
      <w:r w:rsidRPr="4633EB99" w:rsidR="00C957AD">
        <w:rPr>
          <w:rFonts w:ascii="Arial" w:hAnsi="Arial" w:cs="Arial"/>
          <w:b/>
          <w:bCs/>
        </w:rPr>
        <w:t xml:space="preserve"> accessible and inclusive </w:t>
      </w:r>
      <w:r w:rsidRPr="4633EB99" w:rsidR="7EB87223">
        <w:rPr>
          <w:rFonts w:ascii="Arial" w:hAnsi="Arial" w:cs="Arial"/>
          <w:b/>
          <w:bCs/>
        </w:rPr>
        <w:t>technology solutions</w:t>
      </w:r>
      <w:r w:rsidRPr="4633EB99" w:rsidR="00AD46B1">
        <w:rPr>
          <w:rFonts w:ascii="Arial" w:hAnsi="Arial" w:cs="Arial"/>
          <w:b/>
          <w:bCs/>
        </w:rPr>
        <w:t xml:space="preserve"> and building</w:t>
      </w:r>
      <w:r w:rsidRPr="4633EB99" w:rsidR="2EDA5A76">
        <w:rPr>
          <w:rFonts w:ascii="Arial" w:hAnsi="Arial" w:cs="Arial"/>
          <w:b/>
          <w:bCs/>
        </w:rPr>
        <w:t>s</w:t>
      </w:r>
      <w:r w:rsidRPr="4633EB99" w:rsidR="7EB87223">
        <w:rPr>
          <w:rFonts w:ascii="Arial" w:hAnsi="Arial" w:cs="Arial"/>
          <w:b/>
          <w:bCs/>
        </w:rPr>
        <w:t xml:space="preserve"> </w:t>
      </w:r>
      <w:r w:rsidRPr="4633EB99" w:rsidR="00477E6B">
        <w:rPr>
          <w:rFonts w:ascii="Arial" w:hAnsi="Arial" w:cs="Arial"/>
          <w:b/>
          <w:bCs/>
        </w:rPr>
        <w:t>for all our customers</w:t>
      </w:r>
      <w:r w:rsidRPr="4633EB99" w:rsidR="00E53E59">
        <w:rPr>
          <w:rFonts w:ascii="Arial" w:hAnsi="Arial" w:cs="Arial"/>
          <w:b/>
          <w:bCs/>
        </w:rPr>
        <w:t xml:space="preserve"> (Corinne Lawrie, AD Transformation, ICT &amp; Digital – Lead Senior Officer)</w:t>
      </w:r>
      <w:r w:rsidRPr="4633EB99" w:rsidR="005A2A7A">
        <w:rPr>
          <w:rFonts w:ascii="Arial" w:hAnsi="Arial" w:cs="Arial"/>
          <w:b/>
          <w:bCs/>
        </w:rPr>
        <w:t>:</w:t>
      </w:r>
    </w:p>
    <w:tbl>
      <w:tblPr>
        <w:tblStyle w:val="TableGrid"/>
        <w:tblW w:w="10955" w:type="dxa"/>
        <w:tblInd w:w="-1139" w:type="dxa"/>
        <w:tblLook w:val="04A0" w:firstRow="1" w:lastRow="0" w:firstColumn="1" w:lastColumn="0" w:noHBand="0" w:noVBand="1"/>
      </w:tblPr>
      <w:tblGrid>
        <w:gridCol w:w="639"/>
        <w:gridCol w:w="5592"/>
        <w:gridCol w:w="2362"/>
        <w:gridCol w:w="2362"/>
      </w:tblGrid>
      <w:tr w:rsidR="00E53E59" w:rsidTr="3D2FD923" w14:paraId="00861E15" w14:textId="5E92D4D8">
        <w:trPr>
          <w:trHeight w:val="261"/>
        </w:trPr>
        <w:tc>
          <w:tcPr>
            <w:tcW w:w="639" w:type="dxa"/>
            <w:shd w:val="clear" w:color="auto" w:fill="E2EFD9" w:themeFill="accent6" w:themeFillTint="33"/>
            <w:tcMar/>
          </w:tcPr>
          <w:p w:rsidRPr="00E53E59" w:rsidR="00E53E59" w:rsidP="00D22B72" w:rsidRDefault="00E53E59" w14:paraId="7DBCE269" w14:textId="58642500">
            <w:pPr>
              <w:jc w:val="center"/>
              <w:rPr>
                <w:rFonts w:ascii="Arial" w:hAnsi="Arial" w:cs="Arial"/>
                <w:b/>
                <w:bCs/>
              </w:rPr>
            </w:pPr>
            <w:r w:rsidRPr="00E53E59">
              <w:rPr>
                <w:rFonts w:ascii="Arial" w:hAnsi="Arial" w:cs="Arial"/>
                <w:b/>
                <w:bCs/>
              </w:rPr>
              <w:t>Ref</w:t>
            </w:r>
          </w:p>
        </w:tc>
        <w:tc>
          <w:tcPr>
            <w:tcW w:w="5592" w:type="dxa"/>
            <w:shd w:val="clear" w:color="auto" w:fill="E2EFD9" w:themeFill="accent6" w:themeFillTint="33"/>
            <w:tcMar/>
          </w:tcPr>
          <w:p w:rsidRPr="00E53E59" w:rsidR="00E53E59" w:rsidP="008E1368" w:rsidRDefault="00E53E59" w14:paraId="5246C87C" w14:textId="00DD9A8E">
            <w:pPr>
              <w:rPr>
                <w:rFonts w:ascii="Arial" w:hAnsi="Arial" w:cs="Arial"/>
                <w:b/>
                <w:bCs/>
              </w:rPr>
            </w:pPr>
            <w:r w:rsidRPr="00E53E59">
              <w:rPr>
                <w:rFonts w:ascii="Arial" w:hAnsi="Arial" w:cs="Arial"/>
                <w:b/>
                <w:bCs/>
              </w:rPr>
              <w:t>Action</w:t>
            </w:r>
          </w:p>
        </w:tc>
        <w:tc>
          <w:tcPr>
            <w:tcW w:w="2362" w:type="dxa"/>
            <w:shd w:val="clear" w:color="auto" w:fill="E2EFD9" w:themeFill="accent6" w:themeFillTint="33"/>
            <w:tcMar/>
          </w:tcPr>
          <w:p w:rsidRPr="00E53E59" w:rsidR="00E53E59" w:rsidP="008E1368" w:rsidRDefault="00E53E59" w14:paraId="55CA054A" w14:textId="1A91433E">
            <w:pPr>
              <w:rPr>
                <w:rFonts w:ascii="Arial" w:hAnsi="Arial" w:cs="Arial"/>
                <w:b/>
                <w:bCs/>
              </w:rPr>
            </w:pPr>
            <w:r w:rsidRPr="00E53E59">
              <w:rPr>
                <w:rFonts w:ascii="Arial" w:hAnsi="Arial" w:cs="Arial"/>
                <w:b/>
                <w:bCs/>
              </w:rPr>
              <w:t>Timeline</w:t>
            </w:r>
          </w:p>
        </w:tc>
        <w:tc>
          <w:tcPr>
            <w:tcW w:w="2362" w:type="dxa"/>
            <w:shd w:val="clear" w:color="auto" w:fill="E2EFD9" w:themeFill="accent6" w:themeFillTint="33"/>
            <w:tcMar/>
          </w:tcPr>
          <w:p w:rsidRPr="00E53E59" w:rsidR="00E53E59" w:rsidP="008E1368" w:rsidRDefault="00E53E59" w14:paraId="41FC3FC2" w14:textId="00737F3F">
            <w:pPr>
              <w:rPr>
                <w:rFonts w:ascii="Arial" w:hAnsi="Arial" w:cs="Arial"/>
                <w:b/>
                <w:bCs/>
              </w:rPr>
            </w:pPr>
            <w:r w:rsidRPr="00E53E59">
              <w:rPr>
                <w:rFonts w:ascii="Arial" w:hAnsi="Arial" w:cs="Arial"/>
                <w:b/>
                <w:bCs/>
              </w:rPr>
              <w:t>Lead Officer</w:t>
            </w:r>
          </w:p>
        </w:tc>
      </w:tr>
      <w:tr w:rsidR="00E53E59" w:rsidTr="3D2FD923" w14:paraId="449BE422" w14:textId="6E7C86E7">
        <w:trPr>
          <w:trHeight w:val="506"/>
        </w:trPr>
        <w:tc>
          <w:tcPr>
            <w:tcW w:w="639" w:type="dxa"/>
            <w:tcMar/>
          </w:tcPr>
          <w:p w:rsidRPr="008E1368" w:rsidR="00E53E59" w:rsidP="00D22B72" w:rsidRDefault="00E53E59" w14:paraId="6FCF5ADC" w14:textId="77777777">
            <w:pPr>
              <w:jc w:val="center"/>
              <w:rPr>
                <w:rFonts w:ascii="Arial" w:hAnsi="Arial" w:cs="Arial"/>
              </w:rPr>
            </w:pPr>
            <w:r>
              <w:rPr>
                <w:rFonts w:ascii="Arial" w:hAnsi="Arial" w:cs="Arial"/>
              </w:rPr>
              <w:t>1.</w:t>
            </w:r>
          </w:p>
        </w:tc>
        <w:tc>
          <w:tcPr>
            <w:tcW w:w="5592" w:type="dxa"/>
            <w:tcMar/>
          </w:tcPr>
          <w:p w:rsidRPr="008E1368" w:rsidR="00E53E59" w:rsidP="008E1368" w:rsidRDefault="00E53E59" w14:paraId="50255E34" w14:textId="727F889B">
            <w:pPr>
              <w:rPr>
                <w:rFonts w:ascii="Arial" w:hAnsi="Arial" w:cs="Arial"/>
              </w:rPr>
            </w:pPr>
            <w:r>
              <w:rPr>
                <w:rFonts w:ascii="Arial" w:hAnsi="Arial" w:cs="Arial"/>
              </w:rPr>
              <w:t xml:space="preserve">Conduct </w:t>
            </w:r>
            <w:r w:rsidRPr="007B397B">
              <w:rPr>
                <w:rFonts w:ascii="Arial" w:hAnsi="Arial" w:cs="Arial"/>
              </w:rPr>
              <w:t>accessibility review of the offices and existing facilities</w:t>
            </w:r>
            <w:r>
              <w:rPr>
                <w:rFonts w:ascii="Arial" w:hAnsi="Arial" w:cs="Arial"/>
              </w:rPr>
              <w:t xml:space="preserve"> on a regular basis.</w:t>
            </w:r>
          </w:p>
        </w:tc>
        <w:tc>
          <w:tcPr>
            <w:tcW w:w="2362" w:type="dxa"/>
            <w:tcMar/>
          </w:tcPr>
          <w:p w:rsidR="00E53E59" w:rsidP="008E1368" w:rsidRDefault="0086535B" w14:paraId="5945015C" w14:textId="593F4251">
            <w:pPr>
              <w:rPr>
                <w:rFonts w:ascii="Arial" w:hAnsi="Arial" w:cs="Arial"/>
              </w:rPr>
            </w:pPr>
            <w:r>
              <w:rPr>
                <w:rFonts w:ascii="Arial" w:hAnsi="Arial" w:cs="Arial"/>
              </w:rPr>
              <w:t xml:space="preserve">Ongoing </w:t>
            </w:r>
          </w:p>
        </w:tc>
        <w:tc>
          <w:tcPr>
            <w:tcW w:w="2362" w:type="dxa"/>
            <w:tcMar/>
          </w:tcPr>
          <w:p w:rsidR="00E53E59" w:rsidP="57575B3A" w:rsidRDefault="46E81DA0" w14:paraId="1511B316" w14:textId="4CB9A6D2">
            <w:pPr>
              <w:rPr>
                <w:rFonts w:ascii="Arial" w:hAnsi="Arial" w:cs="Arial"/>
              </w:rPr>
            </w:pPr>
            <w:r w:rsidRPr="57575B3A">
              <w:rPr>
                <w:rFonts w:ascii="Arial" w:hAnsi="Arial" w:cs="Arial"/>
              </w:rPr>
              <w:t xml:space="preserve">Neil </w:t>
            </w:r>
            <w:proofErr w:type="spellStart"/>
            <w:r w:rsidRPr="57575B3A">
              <w:rPr>
                <w:rFonts w:ascii="Arial" w:hAnsi="Arial" w:cs="Arial"/>
              </w:rPr>
              <w:t>Dyball</w:t>
            </w:r>
            <w:proofErr w:type="spellEnd"/>
            <w:r w:rsidRPr="57575B3A">
              <w:rPr>
                <w:rFonts w:ascii="Arial" w:hAnsi="Arial" w:cs="Arial"/>
              </w:rPr>
              <w:t>, Facilities Manager</w:t>
            </w:r>
          </w:p>
          <w:p w:rsidR="0070187E" w:rsidP="57575B3A" w:rsidRDefault="0070187E" w14:paraId="60319ADA" w14:textId="77777777">
            <w:pPr>
              <w:rPr>
                <w:rFonts w:ascii="Arial" w:hAnsi="Arial" w:cs="Arial"/>
              </w:rPr>
            </w:pPr>
          </w:p>
          <w:p w:rsidR="00E53E59" w:rsidP="57575B3A" w:rsidRDefault="71795844" w14:paraId="3A50356B" w14:textId="65AB2469">
            <w:pPr>
              <w:rPr>
                <w:rFonts w:ascii="Arial" w:hAnsi="Arial" w:cs="Arial"/>
              </w:rPr>
            </w:pPr>
            <w:r w:rsidRPr="57575B3A">
              <w:rPr>
                <w:rFonts w:ascii="Arial" w:hAnsi="Arial" w:cs="Arial"/>
              </w:rPr>
              <w:t>Matt Allen, Senior Leisure Operations Manager</w:t>
            </w:r>
          </w:p>
        </w:tc>
      </w:tr>
      <w:tr w:rsidR="00E53E59" w:rsidTr="3D2FD923" w14:paraId="4E8F2F7A" w14:textId="7F7102C4">
        <w:trPr>
          <w:trHeight w:val="1530"/>
        </w:trPr>
        <w:tc>
          <w:tcPr>
            <w:tcW w:w="639" w:type="dxa"/>
            <w:tcMar/>
          </w:tcPr>
          <w:p w:rsidRPr="008E1368" w:rsidR="00E53E59" w:rsidP="00D22B72" w:rsidRDefault="00E53E59" w14:paraId="2B8BB93B" w14:textId="77777777">
            <w:pPr>
              <w:jc w:val="center"/>
              <w:rPr>
                <w:rFonts w:ascii="Arial" w:hAnsi="Arial" w:cs="Arial"/>
              </w:rPr>
            </w:pPr>
            <w:r>
              <w:rPr>
                <w:rFonts w:ascii="Arial" w:hAnsi="Arial" w:cs="Arial"/>
              </w:rPr>
              <w:t>2.</w:t>
            </w:r>
          </w:p>
        </w:tc>
        <w:tc>
          <w:tcPr>
            <w:tcW w:w="5592" w:type="dxa"/>
            <w:tcMar/>
          </w:tcPr>
          <w:p w:rsidRPr="008E1368" w:rsidR="00E53E59" w:rsidP="008E1368" w:rsidRDefault="00E53E59" w14:paraId="05DEC744" w14:textId="73A6FECD">
            <w:pPr>
              <w:rPr>
                <w:rFonts w:ascii="Arial" w:hAnsi="Arial" w:cs="Arial"/>
              </w:rPr>
            </w:pPr>
            <w:r w:rsidRPr="21FE51B0">
              <w:rPr>
                <w:rFonts w:ascii="Arial" w:hAnsi="Arial" w:cs="Arial"/>
              </w:rPr>
              <w:t xml:space="preserve">Ensure </w:t>
            </w:r>
            <w:r w:rsidRPr="7530460C" w:rsidR="3DD2194E">
              <w:rPr>
                <w:rFonts w:ascii="Arial" w:hAnsi="Arial" w:cs="Arial"/>
              </w:rPr>
              <w:t xml:space="preserve">digital </w:t>
            </w:r>
            <w:r w:rsidRPr="21FE51B0">
              <w:rPr>
                <w:rFonts w:ascii="Arial" w:hAnsi="Arial" w:cs="Arial"/>
              </w:rPr>
              <w:t xml:space="preserve">accessibility continues to be a central part of our new website </w:t>
            </w:r>
            <w:r w:rsidRPr="7530460C" w:rsidR="57201C36">
              <w:rPr>
                <w:rFonts w:ascii="Arial" w:hAnsi="Arial" w:cs="Arial"/>
              </w:rPr>
              <w:t xml:space="preserve">by conducting regular accessibility audit reviews. </w:t>
            </w:r>
            <w:r w:rsidRPr="7530460C" w:rsidR="049AD666">
              <w:rPr>
                <w:rFonts w:ascii="Arial" w:hAnsi="Arial" w:cs="Arial"/>
              </w:rPr>
              <w:t xml:space="preserve">Make </w:t>
            </w:r>
            <w:r w:rsidRPr="7530460C" w:rsidR="455AD6BA">
              <w:rPr>
                <w:rFonts w:ascii="Arial" w:hAnsi="Arial" w:cs="Arial"/>
              </w:rPr>
              <w:t>t</w:t>
            </w:r>
            <w:r w:rsidRPr="7530460C" w:rsidR="148CFA60">
              <w:rPr>
                <w:rFonts w:ascii="Arial" w:hAnsi="Arial" w:cs="Arial"/>
              </w:rPr>
              <w:t>echnical</w:t>
            </w:r>
            <w:r w:rsidRPr="21FE51B0">
              <w:rPr>
                <w:rFonts w:ascii="Arial" w:hAnsi="Arial" w:cs="Arial"/>
              </w:rPr>
              <w:t xml:space="preserve"> changes to enhance the accessibility of our current website, where required.</w:t>
            </w:r>
          </w:p>
        </w:tc>
        <w:tc>
          <w:tcPr>
            <w:tcW w:w="2362" w:type="dxa"/>
            <w:tcMar/>
          </w:tcPr>
          <w:p w:rsidRPr="21FE51B0" w:rsidR="00E53E59" w:rsidP="008E1368" w:rsidRDefault="0086535B" w14:paraId="487026C1" w14:textId="01931EF0">
            <w:pPr>
              <w:rPr>
                <w:rFonts w:ascii="Arial" w:hAnsi="Arial" w:cs="Arial"/>
              </w:rPr>
            </w:pPr>
            <w:r>
              <w:rPr>
                <w:rFonts w:ascii="Arial" w:hAnsi="Arial" w:cs="Arial"/>
              </w:rPr>
              <w:t xml:space="preserve">Ongoing </w:t>
            </w:r>
          </w:p>
        </w:tc>
        <w:tc>
          <w:tcPr>
            <w:tcW w:w="2362" w:type="dxa"/>
            <w:tcMar/>
          </w:tcPr>
          <w:p w:rsidRPr="21FE51B0" w:rsidR="00E53E59" w:rsidP="008E1368" w:rsidRDefault="27F6599F" w14:paraId="2D840434" w14:textId="56C632F1">
            <w:pPr>
              <w:rPr>
                <w:rFonts w:ascii="Arial" w:hAnsi="Arial" w:cs="Arial"/>
              </w:rPr>
            </w:pPr>
            <w:r w:rsidRPr="7530460C">
              <w:rPr>
                <w:rFonts w:ascii="Arial" w:hAnsi="Arial" w:cs="Arial"/>
              </w:rPr>
              <w:t xml:space="preserve">Ben </w:t>
            </w:r>
            <w:proofErr w:type="spellStart"/>
            <w:r w:rsidRPr="7530460C">
              <w:rPr>
                <w:rFonts w:ascii="Arial" w:hAnsi="Arial" w:cs="Arial"/>
              </w:rPr>
              <w:t>Meen</w:t>
            </w:r>
            <w:proofErr w:type="spellEnd"/>
            <w:r w:rsidR="00D72CFD">
              <w:rPr>
                <w:rFonts w:ascii="Arial" w:hAnsi="Arial" w:cs="Arial"/>
              </w:rPr>
              <w:t>,</w:t>
            </w:r>
            <w:r w:rsidRPr="7530460C">
              <w:rPr>
                <w:rFonts w:ascii="Arial" w:hAnsi="Arial" w:cs="Arial"/>
              </w:rPr>
              <w:t xml:space="preserve"> </w:t>
            </w:r>
            <w:r w:rsidR="0086535B">
              <w:rPr>
                <w:rFonts w:ascii="Arial" w:hAnsi="Arial" w:cs="Arial"/>
              </w:rPr>
              <w:t>ICT Manager</w:t>
            </w:r>
          </w:p>
        </w:tc>
      </w:tr>
      <w:tr w:rsidR="00E53E59" w:rsidTr="3D2FD923" w14:paraId="58CCCA9C" w14:textId="18F65140">
        <w:trPr>
          <w:trHeight w:val="768"/>
        </w:trPr>
        <w:tc>
          <w:tcPr>
            <w:tcW w:w="639" w:type="dxa"/>
            <w:tcMar/>
          </w:tcPr>
          <w:p w:rsidR="00E53E59" w:rsidP="00121EBA" w:rsidRDefault="00E53E59" w14:paraId="5E46B442" w14:textId="6DFE3410">
            <w:pPr>
              <w:jc w:val="center"/>
              <w:rPr>
                <w:rFonts w:ascii="Arial" w:hAnsi="Arial" w:cs="Arial"/>
              </w:rPr>
            </w:pPr>
            <w:r>
              <w:rPr>
                <w:rFonts w:ascii="Arial" w:hAnsi="Arial" w:cs="Arial"/>
              </w:rPr>
              <w:t>3.</w:t>
            </w:r>
          </w:p>
        </w:tc>
        <w:tc>
          <w:tcPr>
            <w:tcW w:w="5592" w:type="dxa"/>
            <w:tcMar/>
          </w:tcPr>
          <w:p w:rsidRPr="21FE51B0" w:rsidR="00E53E59" w:rsidP="00121EBA" w:rsidRDefault="00E53E59" w14:paraId="597E2E8D" w14:textId="76D0C841">
            <w:pPr>
              <w:rPr>
                <w:rFonts w:ascii="Arial" w:hAnsi="Arial" w:cs="Arial"/>
              </w:rPr>
            </w:pPr>
            <w:r>
              <w:rPr>
                <w:rFonts w:ascii="Arial" w:hAnsi="Arial" w:cs="Arial"/>
              </w:rPr>
              <w:t xml:space="preserve">Ensure accessibility is a key element of our systems procurement via improving our specifications. </w:t>
            </w:r>
          </w:p>
        </w:tc>
        <w:tc>
          <w:tcPr>
            <w:tcW w:w="2362" w:type="dxa"/>
            <w:tcMar/>
          </w:tcPr>
          <w:p w:rsidR="00E53E59" w:rsidP="00121EBA" w:rsidRDefault="0086535B" w14:paraId="2BA25123" w14:textId="21D3763B">
            <w:pPr>
              <w:rPr>
                <w:rFonts w:ascii="Arial" w:hAnsi="Arial" w:cs="Arial"/>
              </w:rPr>
            </w:pPr>
            <w:r>
              <w:rPr>
                <w:rFonts w:ascii="Arial" w:hAnsi="Arial" w:cs="Arial"/>
              </w:rPr>
              <w:t>As and when procurements take place</w:t>
            </w:r>
          </w:p>
        </w:tc>
        <w:tc>
          <w:tcPr>
            <w:tcW w:w="2362" w:type="dxa"/>
            <w:tcMar/>
          </w:tcPr>
          <w:p w:rsidR="00E53E59" w:rsidP="00121EBA" w:rsidRDefault="00E80554" w14:paraId="3C97CF2E" w14:textId="114D4208">
            <w:pPr>
              <w:rPr>
                <w:rFonts w:ascii="Arial" w:hAnsi="Arial" w:cs="Arial"/>
              </w:rPr>
            </w:pPr>
            <w:r>
              <w:rPr>
                <w:rFonts w:ascii="Arial" w:hAnsi="Arial" w:cs="Arial"/>
              </w:rPr>
              <w:t xml:space="preserve">All officers leading on procurements </w:t>
            </w:r>
            <w:r w:rsidRPr="7530460C" w:rsidR="3104EC86">
              <w:rPr>
                <w:rFonts w:ascii="Arial" w:hAnsi="Arial" w:cs="Arial"/>
              </w:rPr>
              <w:t>supported and advised by the Technical Design Authority</w:t>
            </w:r>
          </w:p>
        </w:tc>
      </w:tr>
      <w:tr w:rsidR="00E53E59" w:rsidTr="3D2FD923" w14:paraId="20BEE271" w14:textId="3B4931B3">
        <w:trPr>
          <w:trHeight w:val="783"/>
        </w:trPr>
        <w:tc>
          <w:tcPr>
            <w:tcW w:w="639" w:type="dxa"/>
            <w:tcMar/>
          </w:tcPr>
          <w:p w:rsidR="00E53E59" w:rsidP="00121EBA" w:rsidRDefault="00E53E59" w14:paraId="305F0635" w14:textId="4C202F6A">
            <w:pPr>
              <w:jc w:val="center"/>
              <w:rPr>
                <w:rFonts w:ascii="Arial" w:hAnsi="Arial" w:cs="Arial"/>
              </w:rPr>
            </w:pPr>
            <w:r w:rsidRPr="21FE51B0">
              <w:rPr>
                <w:rFonts w:ascii="Arial" w:hAnsi="Arial" w:cs="Arial"/>
              </w:rPr>
              <w:t>4.</w:t>
            </w:r>
          </w:p>
        </w:tc>
        <w:tc>
          <w:tcPr>
            <w:tcW w:w="5592" w:type="dxa"/>
            <w:tcMar/>
          </w:tcPr>
          <w:p w:rsidRPr="008E1368" w:rsidR="00E53E59" w:rsidP="00121EBA" w:rsidRDefault="00E53E59" w14:paraId="487DE4CA" w14:textId="776622FD">
            <w:pPr>
              <w:rPr>
                <w:rFonts w:ascii="Arial" w:hAnsi="Arial" w:cs="Arial"/>
              </w:rPr>
            </w:pPr>
            <w:r w:rsidRPr="00772A23">
              <w:rPr>
                <w:rFonts w:ascii="Arial" w:hAnsi="Arial" w:cs="Arial"/>
              </w:rPr>
              <w:t>Provid</w:t>
            </w:r>
            <w:r>
              <w:rPr>
                <w:rFonts w:ascii="Arial" w:hAnsi="Arial" w:cs="Arial"/>
              </w:rPr>
              <w:t>e</w:t>
            </w:r>
            <w:r w:rsidRPr="00772A23">
              <w:rPr>
                <w:rFonts w:ascii="Arial" w:hAnsi="Arial" w:cs="Arial"/>
              </w:rPr>
              <w:t xml:space="preserve"> a range of channels for residents and customers to easily access information about council services.</w:t>
            </w:r>
          </w:p>
        </w:tc>
        <w:tc>
          <w:tcPr>
            <w:tcW w:w="2362" w:type="dxa"/>
            <w:tcMar/>
          </w:tcPr>
          <w:p w:rsidRPr="00772A23" w:rsidR="00E53E59" w:rsidP="00121EBA" w:rsidRDefault="00D87EC4" w14:paraId="111599F5" w14:textId="552AEB4F">
            <w:pPr>
              <w:rPr>
                <w:rFonts w:ascii="Arial" w:hAnsi="Arial" w:cs="Arial"/>
              </w:rPr>
            </w:pPr>
            <w:r>
              <w:rPr>
                <w:rFonts w:ascii="Arial" w:hAnsi="Arial" w:cs="Arial"/>
              </w:rPr>
              <w:t xml:space="preserve">Ongoing </w:t>
            </w:r>
          </w:p>
        </w:tc>
        <w:tc>
          <w:tcPr>
            <w:tcW w:w="2362" w:type="dxa"/>
            <w:tcMar/>
          </w:tcPr>
          <w:p w:rsidRPr="00772A23" w:rsidR="00E53E59" w:rsidP="00121EBA" w:rsidRDefault="00E80554" w14:paraId="02047620" w14:textId="717F49DF">
            <w:pPr>
              <w:rPr>
                <w:rFonts w:ascii="Arial" w:hAnsi="Arial" w:cs="Arial"/>
              </w:rPr>
            </w:pPr>
            <w:r>
              <w:rPr>
                <w:rFonts w:ascii="Arial" w:hAnsi="Arial" w:cs="Arial"/>
              </w:rPr>
              <w:t xml:space="preserve">Hannah Mawson, </w:t>
            </w:r>
            <w:r w:rsidRPr="006D0039" w:rsidR="006D0039">
              <w:rPr>
                <w:rFonts w:ascii="Arial" w:hAnsi="Arial" w:cs="Arial"/>
              </w:rPr>
              <w:t>Customer Experience and Insight Lead</w:t>
            </w:r>
          </w:p>
        </w:tc>
      </w:tr>
      <w:tr w:rsidR="00D87EC4" w:rsidTr="3D2FD923" w14:paraId="4678B2BA" w14:textId="148B79CC">
        <w:trPr>
          <w:trHeight w:val="506"/>
        </w:trPr>
        <w:tc>
          <w:tcPr>
            <w:tcW w:w="639" w:type="dxa"/>
            <w:tcMar/>
          </w:tcPr>
          <w:p w:rsidRPr="008E1368" w:rsidR="00D87EC4" w:rsidP="00D87EC4" w:rsidRDefault="00D87EC4" w14:paraId="661D48DD" w14:textId="6EEB8A49">
            <w:pPr>
              <w:jc w:val="center"/>
              <w:rPr>
                <w:rFonts w:ascii="Arial" w:hAnsi="Arial" w:cs="Arial"/>
              </w:rPr>
            </w:pPr>
            <w:r>
              <w:rPr>
                <w:rFonts w:ascii="Arial" w:hAnsi="Arial" w:cs="Arial"/>
              </w:rPr>
              <w:t>5.</w:t>
            </w:r>
          </w:p>
        </w:tc>
        <w:tc>
          <w:tcPr>
            <w:tcW w:w="5592" w:type="dxa"/>
            <w:tcMar/>
          </w:tcPr>
          <w:p w:rsidRPr="008E1368" w:rsidR="00D87EC4" w:rsidP="00D87EC4" w:rsidRDefault="00D87EC4" w14:paraId="53F0584F" w14:textId="54A3C318">
            <w:pPr>
              <w:rPr>
                <w:rFonts w:ascii="Arial" w:hAnsi="Arial" w:cs="Arial"/>
              </w:rPr>
            </w:pPr>
            <w:r w:rsidRPr="21FE51B0">
              <w:rPr>
                <w:rFonts w:ascii="Arial" w:hAnsi="Arial" w:cs="Arial"/>
              </w:rPr>
              <w:t xml:space="preserve">Provide assistive technology to internal and external residents and customers as required. </w:t>
            </w:r>
          </w:p>
        </w:tc>
        <w:tc>
          <w:tcPr>
            <w:tcW w:w="2362" w:type="dxa"/>
            <w:tcMar/>
          </w:tcPr>
          <w:p w:rsidRPr="21FE51B0" w:rsidR="00D87EC4" w:rsidP="00D87EC4" w:rsidRDefault="00D87EC4" w14:paraId="0DB5A548" w14:textId="0FE95A07">
            <w:pPr>
              <w:rPr>
                <w:rFonts w:ascii="Arial" w:hAnsi="Arial" w:cs="Arial"/>
              </w:rPr>
            </w:pPr>
            <w:r>
              <w:rPr>
                <w:rFonts w:ascii="Arial" w:hAnsi="Arial" w:cs="Arial"/>
              </w:rPr>
              <w:t xml:space="preserve">Ongoing </w:t>
            </w:r>
          </w:p>
        </w:tc>
        <w:tc>
          <w:tcPr>
            <w:tcW w:w="2362" w:type="dxa"/>
            <w:tcMar/>
          </w:tcPr>
          <w:p w:rsidRPr="21FE51B0" w:rsidR="00D87EC4" w:rsidP="00D87EC4" w:rsidRDefault="00D87EC4" w14:paraId="45CC5050" w14:textId="28589C6A">
            <w:pPr>
              <w:rPr>
                <w:rFonts w:ascii="Arial" w:hAnsi="Arial" w:cs="Arial"/>
              </w:rPr>
            </w:pPr>
            <w:r>
              <w:rPr>
                <w:rFonts w:ascii="Arial" w:hAnsi="Arial" w:cs="Arial"/>
              </w:rPr>
              <w:t xml:space="preserve">Hannah Mawson, </w:t>
            </w:r>
            <w:r w:rsidRPr="006D0039" w:rsidR="006D0039">
              <w:rPr>
                <w:rFonts w:ascii="Arial" w:hAnsi="Arial" w:cs="Arial"/>
              </w:rPr>
              <w:t>Customer Experience and Insight Lead</w:t>
            </w:r>
          </w:p>
        </w:tc>
      </w:tr>
      <w:tr w:rsidR="00D87EC4" w:rsidTr="3D2FD923" w14:paraId="4B10F043" w14:textId="4F046B55">
        <w:trPr>
          <w:trHeight w:val="506"/>
        </w:trPr>
        <w:tc>
          <w:tcPr>
            <w:tcW w:w="639" w:type="dxa"/>
            <w:tcMar/>
          </w:tcPr>
          <w:p w:rsidR="00D87EC4" w:rsidP="00D87EC4" w:rsidRDefault="00D87EC4" w14:paraId="611B127C" w14:textId="191C2C6C">
            <w:pPr>
              <w:jc w:val="center"/>
              <w:rPr>
                <w:rFonts w:ascii="Arial" w:hAnsi="Arial" w:cs="Arial"/>
              </w:rPr>
            </w:pPr>
            <w:r>
              <w:rPr>
                <w:rFonts w:ascii="Arial" w:hAnsi="Arial" w:cs="Arial"/>
              </w:rPr>
              <w:t>6.</w:t>
            </w:r>
          </w:p>
        </w:tc>
        <w:tc>
          <w:tcPr>
            <w:tcW w:w="5592" w:type="dxa"/>
            <w:tcMar/>
          </w:tcPr>
          <w:p w:rsidRPr="21FE51B0" w:rsidR="00D87EC4" w:rsidP="00D87EC4" w:rsidRDefault="00D87EC4" w14:paraId="66A10A31" w14:textId="6F1067D9">
            <w:pPr>
              <w:rPr>
                <w:rFonts w:ascii="Arial" w:hAnsi="Arial" w:cs="Arial"/>
              </w:rPr>
            </w:pPr>
            <w:r w:rsidRPr="002B3D1B">
              <w:rPr>
                <w:rFonts w:ascii="Arial" w:hAnsi="Arial" w:cs="Arial"/>
              </w:rPr>
              <w:t>Accessibility to be embedded into core service redesign and process mapping principles</w:t>
            </w:r>
            <w:r>
              <w:rPr>
                <w:rFonts w:ascii="Arial" w:hAnsi="Arial" w:cs="Arial"/>
              </w:rPr>
              <w:t>.</w:t>
            </w:r>
          </w:p>
        </w:tc>
        <w:tc>
          <w:tcPr>
            <w:tcW w:w="2362" w:type="dxa"/>
            <w:tcMar/>
          </w:tcPr>
          <w:p w:rsidRPr="002B3D1B" w:rsidR="00D87EC4" w:rsidP="00D87EC4" w:rsidRDefault="6C7DA312" w14:paraId="4026A3E2" w14:textId="1EAA894D">
            <w:pPr>
              <w:rPr>
                <w:rFonts w:ascii="Arial" w:hAnsi="Arial" w:cs="Arial"/>
              </w:rPr>
            </w:pPr>
            <w:r w:rsidRPr="7530460C">
              <w:rPr>
                <w:rFonts w:ascii="Arial" w:hAnsi="Arial" w:cs="Arial"/>
              </w:rPr>
              <w:t xml:space="preserve">Ongoing </w:t>
            </w:r>
          </w:p>
        </w:tc>
        <w:tc>
          <w:tcPr>
            <w:tcW w:w="2362" w:type="dxa"/>
            <w:tcMar/>
          </w:tcPr>
          <w:p w:rsidRPr="002B3D1B" w:rsidR="00D87EC4" w:rsidP="00D87EC4" w:rsidRDefault="0EF5C3BE" w14:paraId="77967650" w14:textId="035B22F4">
            <w:pPr>
              <w:rPr>
                <w:rFonts w:ascii="Arial" w:hAnsi="Arial" w:cs="Arial"/>
              </w:rPr>
            </w:pPr>
            <w:r w:rsidRPr="7530460C">
              <w:rPr>
                <w:rFonts w:ascii="Arial" w:hAnsi="Arial" w:cs="Arial"/>
              </w:rPr>
              <w:t>Emma Pepper</w:t>
            </w:r>
            <w:r w:rsidR="0070187E">
              <w:rPr>
                <w:rFonts w:ascii="Arial" w:hAnsi="Arial" w:cs="Arial"/>
              </w:rPr>
              <w:t xml:space="preserve">, </w:t>
            </w:r>
            <w:r w:rsidRPr="00C22A5D" w:rsidR="00C22A5D">
              <w:rPr>
                <w:rFonts w:ascii="Arial" w:hAnsi="Arial" w:cs="Arial"/>
              </w:rPr>
              <w:t>Transformation, Innovation and Internal Consultancy Manager</w:t>
            </w:r>
          </w:p>
        </w:tc>
      </w:tr>
    </w:tbl>
    <w:p w:rsidR="00B90194" w:rsidP="00E05D73" w:rsidRDefault="00B90194" w14:paraId="0B12661F" w14:textId="77777777">
      <w:pPr>
        <w:jc w:val="both"/>
      </w:pPr>
    </w:p>
    <w:p w:rsidR="00266F48" w:rsidP="00E05D73" w:rsidRDefault="00266F48" w14:paraId="61E29243" w14:textId="77777777">
      <w:pPr>
        <w:jc w:val="both"/>
      </w:pPr>
    </w:p>
    <w:p w:rsidR="005A2A7A" w:rsidP="00E05D73" w:rsidRDefault="004453BD" w14:paraId="5BE46516" w14:textId="53ABB389">
      <w:pPr>
        <w:pStyle w:val="ListParagraph"/>
        <w:numPr>
          <w:ilvl w:val="0"/>
          <w:numId w:val="1"/>
        </w:numPr>
        <w:jc w:val="both"/>
        <w:rPr>
          <w:rFonts w:ascii="Arial" w:hAnsi="Arial" w:cs="Arial"/>
          <w:b/>
        </w:rPr>
      </w:pPr>
      <w:r w:rsidRPr="004453BD">
        <w:rPr>
          <w:rFonts w:ascii="Arial" w:hAnsi="Arial" w:cs="Arial"/>
          <w:b/>
        </w:rPr>
        <w:t>Ensure our staff have the skills, knowledge and awareness to be able to deliver services fairly and challenge unfair treatment or inappropriate behaviours</w:t>
      </w:r>
      <w:r w:rsidR="00207028">
        <w:rPr>
          <w:rFonts w:ascii="Arial" w:hAnsi="Arial" w:cs="Arial"/>
          <w:b/>
        </w:rPr>
        <w:t xml:space="preserve"> (Emma Hodds, Chief of Staff – Lead Senior Officer)</w:t>
      </w:r>
      <w:r w:rsidR="00C21979">
        <w:rPr>
          <w:rFonts w:ascii="Arial" w:hAnsi="Arial" w:cs="Arial"/>
          <w:b/>
        </w:rPr>
        <w:t>:</w:t>
      </w:r>
    </w:p>
    <w:tbl>
      <w:tblPr>
        <w:tblStyle w:val="TableGrid"/>
        <w:tblW w:w="10955" w:type="dxa"/>
        <w:tblInd w:w="-1139" w:type="dxa"/>
        <w:tblLook w:val="04A0" w:firstRow="1" w:lastRow="0" w:firstColumn="1" w:lastColumn="0" w:noHBand="0" w:noVBand="1"/>
      </w:tblPr>
      <w:tblGrid>
        <w:gridCol w:w="639"/>
        <w:gridCol w:w="5592"/>
        <w:gridCol w:w="2362"/>
        <w:gridCol w:w="2362"/>
      </w:tblGrid>
      <w:tr w:rsidR="00933092" w:rsidTr="41A1885A" w14:paraId="1E567CA3" w14:textId="77777777">
        <w:trPr>
          <w:trHeight w:val="261"/>
        </w:trPr>
        <w:tc>
          <w:tcPr>
            <w:tcW w:w="639" w:type="dxa"/>
            <w:shd w:val="clear" w:color="auto" w:fill="E2EFD9" w:themeFill="accent6" w:themeFillTint="33"/>
          </w:tcPr>
          <w:p w:rsidRPr="00E53E59" w:rsidR="00D87EC4" w:rsidRDefault="00D87EC4" w14:paraId="02346093" w14:textId="77777777">
            <w:pPr>
              <w:jc w:val="center"/>
              <w:rPr>
                <w:rFonts w:ascii="Arial" w:hAnsi="Arial" w:cs="Arial"/>
                <w:b/>
                <w:bCs/>
              </w:rPr>
            </w:pPr>
            <w:r w:rsidRPr="00E53E59">
              <w:rPr>
                <w:rFonts w:ascii="Arial" w:hAnsi="Arial" w:cs="Arial"/>
                <w:b/>
                <w:bCs/>
              </w:rPr>
              <w:t>Ref</w:t>
            </w:r>
          </w:p>
        </w:tc>
        <w:tc>
          <w:tcPr>
            <w:tcW w:w="5592" w:type="dxa"/>
            <w:shd w:val="clear" w:color="auto" w:fill="E2EFD9" w:themeFill="accent6" w:themeFillTint="33"/>
          </w:tcPr>
          <w:p w:rsidRPr="00E53E59" w:rsidR="00D87EC4" w:rsidRDefault="00D87EC4" w14:paraId="2E699EB3" w14:textId="77777777">
            <w:pPr>
              <w:rPr>
                <w:rFonts w:ascii="Arial" w:hAnsi="Arial" w:cs="Arial"/>
                <w:b/>
                <w:bCs/>
              </w:rPr>
            </w:pPr>
            <w:r w:rsidRPr="00E53E59">
              <w:rPr>
                <w:rFonts w:ascii="Arial" w:hAnsi="Arial" w:cs="Arial"/>
                <w:b/>
                <w:bCs/>
              </w:rPr>
              <w:t>Action</w:t>
            </w:r>
          </w:p>
        </w:tc>
        <w:tc>
          <w:tcPr>
            <w:tcW w:w="2362" w:type="dxa"/>
            <w:shd w:val="clear" w:color="auto" w:fill="E2EFD9" w:themeFill="accent6" w:themeFillTint="33"/>
          </w:tcPr>
          <w:p w:rsidRPr="00E53E59" w:rsidR="00D87EC4" w:rsidRDefault="00D87EC4" w14:paraId="24FA14D2" w14:textId="77777777">
            <w:pPr>
              <w:rPr>
                <w:rFonts w:ascii="Arial" w:hAnsi="Arial" w:cs="Arial"/>
                <w:b/>
                <w:bCs/>
              </w:rPr>
            </w:pPr>
            <w:r w:rsidRPr="00E53E59">
              <w:rPr>
                <w:rFonts w:ascii="Arial" w:hAnsi="Arial" w:cs="Arial"/>
                <w:b/>
                <w:bCs/>
              </w:rPr>
              <w:t>Timeline</w:t>
            </w:r>
          </w:p>
        </w:tc>
        <w:tc>
          <w:tcPr>
            <w:tcW w:w="2362" w:type="dxa"/>
            <w:shd w:val="clear" w:color="auto" w:fill="E2EFD9" w:themeFill="accent6" w:themeFillTint="33"/>
          </w:tcPr>
          <w:p w:rsidRPr="00E53E59" w:rsidR="00D87EC4" w:rsidRDefault="00D87EC4" w14:paraId="28FD73F6" w14:textId="77777777">
            <w:pPr>
              <w:rPr>
                <w:rFonts w:ascii="Arial" w:hAnsi="Arial" w:cs="Arial"/>
                <w:b/>
                <w:bCs/>
              </w:rPr>
            </w:pPr>
            <w:r w:rsidRPr="00E53E59">
              <w:rPr>
                <w:rFonts w:ascii="Arial" w:hAnsi="Arial" w:cs="Arial"/>
                <w:b/>
                <w:bCs/>
              </w:rPr>
              <w:t>Lead Officer</w:t>
            </w:r>
          </w:p>
        </w:tc>
      </w:tr>
      <w:tr w:rsidR="00D87EC4" w:rsidTr="41A1885A" w14:paraId="44C03B09" w14:textId="77777777">
        <w:trPr>
          <w:trHeight w:val="506"/>
        </w:trPr>
        <w:tc>
          <w:tcPr>
            <w:tcW w:w="639" w:type="dxa"/>
          </w:tcPr>
          <w:p w:rsidRPr="008E1368" w:rsidR="00D87EC4" w:rsidP="00D87EC4" w:rsidRDefault="00D87EC4" w14:paraId="76F82BA3" w14:textId="77777777">
            <w:pPr>
              <w:jc w:val="center"/>
              <w:rPr>
                <w:rFonts w:ascii="Arial" w:hAnsi="Arial" w:cs="Arial"/>
              </w:rPr>
            </w:pPr>
            <w:r>
              <w:rPr>
                <w:rFonts w:ascii="Arial" w:hAnsi="Arial" w:cs="Arial"/>
              </w:rPr>
              <w:t>1.</w:t>
            </w:r>
          </w:p>
        </w:tc>
        <w:tc>
          <w:tcPr>
            <w:tcW w:w="5592" w:type="dxa"/>
          </w:tcPr>
          <w:p w:rsidRPr="008E1368" w:rsidR="00D87EC4" w:rsidP="00D87EC4" w:rsidRDefault="00D87EC4" w14:paraId="29AF15C9" w14:textId="4941B7CC">
            <w:pPr>
              <w:rPr>
                <w:rFonts w:ascii="Arial" w:hAnsi="Arial" w:cs="Arial"/>
              </w:rPr>
            </w:pPr>
            <w:r w:rsidRPr="008273B4">
              <w:rPr>
                <w:rFonts w:ascii="Arial" w:hAnsi="Arial" w:cs="Arial"/>
              </w:rPr>
              <w:t>Further embed equalities and EQIAs into the project and programme approach.</w:t>
            </w:r>
          </w:p>
        </w:tc>
        <w:tc>
          <w:tcPr>
            <w:tcW w:w="2362" w:type="dxa"/>
          </w:tcPr>
          <w:p w:rsidR="00D87EC4" w:rsidP="00D87EC4" w:rsidRDefault="00AC4555" w14:paraId="3CE38661" w14:textId="5EC75D05">
            <w:pPr>
              <w:rPr>
                <w:rFonts w:ascii="Arial" w:hAnsi="Arial" w:cs="Arial"/>
              </w:rPr>
            </w:pPr>
            <w:r>
              <w:rPr>
                <w:rFonts w:ascii="Arial" w:hAnsi="Arial" w:cs="Arial"/>
              </w:rPr>
              <w:t>October 2024</w:t>
            </w:r>
          </w:p>
        </w:tc>
        <w:tc>
          <w:tcPr>
            <w:tcW w:w="2362" w:type="dxa"/>
          </w:tcPr>
          <w:p w:rsidR="00D87EC4" w:rsidP="00D87EC4" w:rsidRDefault="00AC4555" w14:paraId="7FA70037" w14:textId="05C05126">
            <w:pPr>
              <w:rPr>
                <w:rFonts w:ascii="Arial" w:hAnsi="Arial" w:cs="Arial"/>
              </w:rPr>
            </w:pPr>
            <w:r>
              <w:rPr>
                <w:rFonts w:ascii="Arial" w:hAnsi="Arial" w:cs="Arial"/>
              </w:rPr>
              <w:t>Sinead Carey, Strategic Advisor &amp; DMO &amp; Bethany Timpson, PMO Lead</w:t>
            </w:r>
          </w:p>
        </w:tc>
      </w:tr>
      <w:tr w:rsidR="00D87EC4" w:rsidTr="41A1885A" w14:paraId="09CEC7B0" w14:textId="77777777">
        <w:trPr>
          <w:trHeight w:val="1029"/>
        </w:trPr>
        <w:tc>
          <w:tcPr>
            <w:tcW w:w="639" w:type="dxa"/>
          </w:tcPr>
          <w:p w:rsidRPr="008E1368" w:rsidR="00D87EC4" w:rsidP="00D87EC4" w:rsidRDefault="00D87EC4" w14:paraId="1DA5A841" w14:textId="77777777">
            <w:pPr>
              <w:jc w:val="center"/>
              <w:rPr>
                <w:rFonts w:ascii="Arial" w:hAnsi="Arial" w:cs="Arial"/>
              </w:rPr>
            </w:pPr>
            <w:r>
              <w:rPr>
                <w:rFonts w:ascii="Arial" w:hAnsi="Arial" w:cs="Arial"/>
              </w:rPr>
              <w:t>2.</w:t>
            </w:r>
          </w:p>
        </w:tc>
        <w:tc>
          <w:tcPr>
            <w:tcW w:w="5592" w:type="dxa"/>
          </w:tcPr>
          <w:p w:rsidRPr="008E1368" w:rsidR="00D87EC4" w:rsidP="00D87EC4" w:rsidRDefault="00D87EC4" w14:paraId="7734933C" w14:textId="7C8455D8">
            <w:pPr>
              <w:rPr>
                <w:rFonts w:ascii="Arial" w:hAnsi="Arial" w:cs="Arial"/>
              </w:rPr>
            </w:pPr>
            <w:r w:rsidRPr="41A1885A">
              <w:rPr>
                <w:rFonts w:ascii="Arial" w:hAnsi="Arial" w:cs="Arial"/>
              </w:rPr>
              <w:t xml:space="preserve">All Staff undertake equalities and human rights training so awareness of equality issues and our policy are increased. </w:t>
            </w:r>
          </w:p>
        </w:tc>
        <w:tc>
          <w:tcPr>
            <w:tcW w:w="2362" w:type="dxa"/>
          </w:tcPr>
          <w:p w:rsidRPr="21FE51B0" w:rsidR="00D87EC4" w:rsidP="00D87EC4" w:rsidRDefault="00587EB0" w14:paraId="37016BE5" w14:textId="11E994D4">
            <w:pPr>
              <w:rPr>
                <w:rFonts w:ascii="Arial" w:hAnsi="Arial" w:cs="Arial"/>
              </w:rPr>
            </w:pPr>
            <w:r>
              <w:rPr>
                <w:rFonts w:ascii="Arial" w:hAnsi="Arial" w:cs="Arial"/>
              </w:rPr>
              <w:t xml:space="preserve">Training takes place annually </w:t>
            </w:r>
          </w:p>
        </w:tc>
        <w:tc>
          <w:tcPr>
            <w:tcW w:w="2362" w:type="dxa"/>
          </w:tcPr>
          <w:p w:rsidRPr="21FE51B0" w:rsidR="00D87EC4" w:rsidP="00D87EC4" w:rsidRDefault="00587EB0" w14:paraId="4C94F6D9" w14:textId="337BA0E4">
            <w:pPr>
              <w:rPr>
                <w:rFonts w:ascii="Arial" w:hAnsi="Arial" w:cs="Arial"/>
              </w:rPr>
            </w:pPr>
            <w:r>
              <w:rPr>
                <w:rFonts w:ascii="Arial" w:hAnsi="Arial" w:cs="Arial"/>
              </w:rPr>
              <w:t>Sinead Carey, Strategic Advisor &amp; DMO</w:t>
            </w:r>
          </w:p>
        </w:tc>
      </w:tr>
      <w:tr w:rsidR="00D87EC4" w:rsidTr="41A1885A" w14:paraId="3FEF5B7D" w14:textId="77777777">
        <w:trPr>
          <w:trHeight w:val="768"/>
        </w:trPr>
        <w:tc>
          <w:tcPr>
            <w:tcW w:w="639" w:type="dxa"/>
          </w:tcPr>
          <w:p w:rsidR="00D87EC4" w:rsidP="00D87EC4" w:rsidRDefault="00D87EC4" w14:paraId="5CCF7125" w14:textId="77777777">
            <w:pPr>
              <w:jc w:val="center"/>
              <w:rPr>
                <w:rFonts w:ascii="Arial" w:hAnsi="Arial" w:cs="Arial"/>
              </w:rPr>
            </w:pPr>
            <w:r>
              <w:rPr>
                <w:rFonts w:ascii="Arial" w:hAnsi="Arial" w:cs="Arial"/>
              </w:rPr>
              <w:t>3.</w:t>
            </w:r>
          </w:p>
        </w:tc>
        <w:tc>
          <w:tcPr>
            <w:tcW w:w="5592" w:type="dxa"/>
          </w:tcPr>
          <w:p w:rsidRPr="21FE51B0" w:rsidR="00D87EC4" w:rsidP="00D87EC4" w:rsidRDefault="00D87EC4" w14:paraId="1D3479DA" w14:textId="17858383">
            <w:pPr>
              <w:rPr>
                <w:rFonts w:ascii="Arial" w:hAnsi="Arial" w:cs="Arial"/>
              </w:rPr>
            </w:pPr>
            <w:r w:rsidRPr="00E8300C">
              <w:rPr>
                <w:rFonts w:ascii="Arial" w:hAnsi="Arial" w:cs="Arial"/>
              </w:rPr>
              <w:t>Policies to deal with bullying and whistleblowing are easy to find, accessible promoted, and understood by staff e.g. Updated Grievance Procedure includes the new Bullying and Harassment procedures, and managers have been trained</w:t>
            </w:r>
            <w:r>
              <w:rPr>
                <w:rFonts w:ascii="Arial" w:hAnsi="Arial" w:cs="Arial"/>
              </w:rPr>
              <w:t xml:space="preserve">. </w:t>
            </w:r>
          </w:p>
        </w:tc>
        <w:tc>
          <w:tcPr>
            <w:tcW w:w="2362" w:type="dxa"/>
          </w:tcPr>
          <w:p w:rsidR="00D87EC4" w:rsidP="00D87EC4" w:rsidRDefault="00587EB0" w14:paraId="013358C5" w14:textId="125E2245">
            <w:pPr>
              <w:rPr>
                <w:rFonts w:ascii="Arial" w:hAnsi="Arial" w:cs="Arial"/>
              </w:rPr>
            </w:pPr>
            <w:r>
              <w:rPr>
                <w:rFonts w:ascii="Arial" w:hAnsi="Arial" w:cs="Arial"/>
              </w:rPr>
              <w:t xml:space="preserve">Regularly reviewed – ongoing </w:t>
            </w:r>
          </w:p>
        </w:tc>
        <w:tc>
          <w:tcPr>
            <w:tcW w:w="2362" w:type="dxa"/>
          </w:tcPr>
          <w:p w:rsidR="00D87EC4" w:rsidP="00D87EC4" w:rsidRDefault="00587EB0" w14:paraId="29E1365D" w14:textId="2BF01325">
            <w:pPr>
              <w:rPr>
                <w:rFonts w:ascii="Arial" w:hAnsi="Arial" w:cs="Arial"/>
              </w:rPr>
            </w:pPr>
            <w:r>
              <w:rPr>
                <w:rFonts w:ascii="Arial" w:hAnsi="Arial" w:cs="Arial"/>
              </w:rPr>
              <w:t xml:space="preserve">Victoria Finch, </w:t>
            </w:r>
            <w:r w:rsidRPr="5E452F7C" w:rsidR="5F221875">
              <w:rPr>
                <w:rFonts w:ascii="Arial" w:hAnsi="Arial" w:cs="Arial"/>
              </w:rPr>
              <w:t xml:space="preserve">Head of </w:t>
            </w:r>
            <w:r w:rsidRPr="5E452F7C" w:rsidR="162E92B9">
              <w:rPr>
                <w:rFonts w:ascii="Arial" w:hAnsi="Arial" w:cs="Arial"/>
              </w:rPr>
              <w:t>HR</w:t>
            </w:r>
            <w:r w:rsidRPr="5E452F7C" w:rsidR="433755F7">
              <w:rPr>
                <w:rFonts w:ascii="Arial" w:hAnsi="Arial" w:cs="Arial"/>
              </w:rPr>
              <w:t xml:space="preserve">, </w:t>
            </w:r>
            <w:r>
              <w:rPr>
                <w:rFonts w:ascii="Arial" w:hAnsi="Arial" w:cs="Arial"/>
              </w:rPr>
              <w:t xml:space="preserve">OD </w:t>
            </w:r>
            <w:r w:rsidRPr="2F186547" w:rsidR="00FB7B8E">
              <w:rPr>
                <w:rFonts w:ascii="Arial" w:hAnsi="Arial" w:cs="Arial"/>
              </w:rPr>
              <w:t xml:space="preserve">&amp; </w:t>
            </w:r>
            <w:r w:rsidRPr="7B751A4A" w:rsidR="00FB7B8E">
              <w:rPr>
                <w:rFonts w:ascii="Arial" w:hAnsi="Arial" w:cs="Arial"/>
              </w:rPr>
              <w:t xml:space="preserve">Payroll </w:t>
            </w:r>
          </w:p>
        </w:tc>
      </w:tr>
    </w:tbl>
    <w:p w:rsidR="008E1368" w:rsidP="00E05D73" w:rsidRDefault="008E1368" w14:paraId="127FE96E" w14:textId="77777777">
      <w:pPr>
        <w:jc w:val="both"/>
      </w:pPr>
    </w:p>
    <w:p w:rsidR="00EE4CA5" w:rsidP="009073A3" w:rsidRDefault="005A2A7A" w14:paraId="502ADCFA" w14:textId="67BDAB3F">
      <w:pPr>
        <w:pStyle w:val="ListParagraph"/>
        <w:numPr>
          <w:ilvl w:val="0"/>
          <w:numId w:val="1"/>
        </w:numPr>
        <w:jc w:val="both"/>
        <w:rPr>
          <w:rFonts w:ascii="Arial" w:hAnsi="Arial" w:cs="Arial"/>
          <w:b/>
        </w:rPr>
      </w:pPr>
      <w:r w:rsidRPr="00771A8D">
        <w:rPr>
          <w:rFonts w:ascii="Arial" w:hAnsi="Arial" w:cs="Arial"/>
          <w:b/>
        </w:rPr>
        <w:t>Active</w:t>
      </w:r>
      <w:r w:rsidR="00160AA0">
        <w:rPr>
          <w:rFonts w:ascii="Arial" w:hAnsi="Arial" w:cs="Arial"/>
          <w:b/>
        </w:rPr>
        <w:t>ly</w:t>
      </w:r>
      <w:r w:rsidRPr="00771A8D">
        <w:rPr>
          <w:rFonts w:ascii="Arial" w:hAnsi="Arial" w:cs="Arial"/>
          <w:b/>
        </w:rPr>
        <w:t xml:space="preserve"> engage with those service users who have one</w:t>
      </w:r>
      <w:r w:rsidRPr="00771A8D" w:rsidR="006D360B">
        <w:rPr>
          <w:rFonts w:ascii="Arial" w:hAnsi="Arial" w:cs="Arial"/>
          <w:b/>
        </w:rPr>
        <w:t>, or more</w:t>
      </w:r>
      <w:r w:rsidRPr="00771A8D">
        <w:rPr>
          <w:rFonts w:ascii="Arial" w:hAnsi="Arial" w:cs="Arial"/>
          <w:b/>
        </w:rPr>
        <w:t xml:space="preserve"> of the protected characteristics</w:t>
      </w:r>
      <w:r w:rsidR="007E4940">
        <w:rPr>
          <w:rFonts w:ascii="Arial" w:hAnsi="Arial" w:cs="Arial"/>
          <w:b/>
        </w:rPr>
        <w:t xml:space="preserve"> (Mike Pursehouse, AD Individuals and Families – Lead Senior Officer)</w:t>
      </w:r>
      <w:r w:rsidRPr="00771A8D">
        <w:rPr>
          <w:rFonts w:ascii="Arial" w:hAnsi="Arial" w:cs="Arial"/>
          <w:b/>
        </w:rPr>
        <w:t>:</w:t>
      </w:r>
    </w:p>
    <w:tbl>
      <w:tblPr>
        <w:tblStyle w:val="TableGrid"/>
        <w:tblW w:w="10955" w:type="dxa"/>
        <w:tblInd w:w="-1139" w:type="dxa"/>
        <w:tblLook w:val="04A0" w:firstRow="1" w:lastRow="0" w:firstColumn="1" w:lastColumn="0" w:noHBand="0" w:noVBand="1"/>
      </w:tblPr>
      <w:tblGrid>
        <w:gridCol w:w="639"/>
        <w:gridCol w:w="5592"/>
        <w:gridCol w:w="2362"/>
        <w:gridCol w:w="2362"/>
      </w:tblGrid>
      <w:tr w:rsidR="00587EB0" w:rsidTr="632E0ECA" w14:paraId="2B2BE5BB" w14:textId="77777777">
        <w:trPr>
          <w:trHeight w:val="261"/>
        </w:trPr>
        <w:tc>
          <w:tcPr>
            <w:tcW w:w="639" w:type="dxa"/>
            <w:shd w:val="clear" w:color="auto" w:fill="E2EFD9" w:themeFill="accent6" w:themeFillTint="33"/>
            <w:tcMar/>
          </w:tcPr>
          <w:p w:rsidRPr="00E53E59" w:rsidR="00587EB0" w:rsidRDefault="00587EB0" w14:paraId="3F8EC984" w14:textId="77777777">
            <w:pPr>
              <w:jc w:val="center"/>
              <w:rPr>
                <w:rFonts w:ascii="Arial" w:hAnsi="Arial" w:cs="Arial"/>
                <w:b/>
                <w:bCs/>
              </w:rPr>
            </w:pPr>
            <w:r w:rsidRPr="00E53E59">
              <w:rPr>
                <w:rFonts w:ascii="Arial" w:hAnsi="Arial" w:cs="Arial"/>
                <w:b/>
                <w:bCs/>
              </w:rPr>
              <w:t>Ref</w:t>
            </w:r>
          </w:p>
        </w:tc>
        <w:tc>
          <w:tcPr>
            <w:tcW w:w="5592" w:type="dxa"/>
            <w:shd w:val="clear" w:color="auto" w:fill="E2EFD9" w:themeFill="accent6" w:themeFillTint="33"/>
            <w:tcMar/>
          </w:tcPr>
          <w:p w:rsidRPr="00E53E59" w:rsidR="00587EB0" w:rsidRDefault="00587EB0" w14:paraId="63D59B07" w14:textId="77777777">
            <w:pPr>
              <w:rPr>
                <w:rFonts w:ascii="Arial" w:hAnsi="Arial" w:cs="Arial"/>
                <w:b/>
                <w:bCs/>
              </w:rPr>
            </w:pPr>
            <w:r w:rsidRPr="00E53E59">
              <w:rPr>
                <w:rFonts w:ascii="Arial" w:hAnsi="Arial" w:cs="Arial"/>
                <w:b/>
                <w:bCs/>
              </w:rPr>
              <w:t>Action</w:t>
            </w:r>
          </w:p>
        </w:tc>
        <w:tc>
          <w:tcPr>
            <w:tcW w:w="2362" w:type="dxa"/>
            <w:shd w:val="clear" w:color="auto" w:fill="E2EFD9" w:themeFill="accent6" w:themeFillTint="33"/>
            <w:tcMar/>
          </w:tcPr>
          <w:p w:rsidRPr="00E53E59" w:rsidR="00587EB0" w:rsidRDefault="00587EB0" w14:paraId="14A93FBA" w14:textId="77777777">
            <w:pPr>
              <w:rPr>
                <w:rFonts w:ascii="Arial" w:hAnsi="Arial" w:cs="Arial"/>
                <w:b/>
                <w:bCs/>
              </w:rPr>
            </w:pPr>
            <w:r w:rsidRPr="00E53E59">
              <w:rPr>
                <w:rFonts w:ascii="Arial" w:hAnsi="Arial" w:cs="Arial"/>
                <w:b/>
                <w:bCs/>
              </w:rPr>
              <w:t>Timeline</w:t>
            </w:r>
          </w:p>
        </w:tc>
        <w:tc>
          <w:tcPr>
            <w:tcW w:w="2362" w:type="dxa"/>
            <w:shd w:val="clear" w:color="auto" w:fill="E2EFD9" w:themeFill="accent6" w:themeFillTint="33"/>
            <w:tcMar/>
          </w:tcPr>
          <w:p w:rsidRPr="00E53E59" w:rsidR="00587EB0" w:rsidRDefault="00587EB0" w14:paraId="3BFE706D" w14:textId="77777777">
            <w:pPr>
              <w:rPr>
                <w:rFonts w:ascii="Arial" w:hAnsi="Arial" w:cs="Arial"/>
                <w:b/>
                <w:bCs/>
              </w:rPr>
            </w:pPr>
            <w:r w:rsidRPr="00E53E59">
              <w:rPr>
                <w:rFonts w:ascii="Arial" w:hAnsi="Arial" w:cs="Arial"/>
                <w:b/>
                <w:bCs/>
              </w:rPr>
              <w:t>Lead Officer</w:t>
            </w:r>
          </w:p>
        </w:tc>
      </w:tr>
      <w:tr w:rsidR="00587EB0" w:rsidTr="632E0ECA" w14:paraId="1CBE03E9" w14:textId="77777777">
        <w:trPr>
          <w:trHeight w:val="506"/>
        </w:trPr>
        <w:tc>
          <w:tcPr>
            <w:tcW w:w="639" w:type="dxa"/>
            <w:tcMar/>
          </w:tcPr>
          <w:p w:rsidRPr="008E1368" w:rsidR="00587EB0" w:rsidP="00587EB0" w:rsidRDefault="00587EB0" w14:paraId="4E19127F" w14:textId="77777777">
            <w:pPr>
              <w:jc w:val="center"/>
              <w:rPr>
                <w:rFonts w:ascii="Arial" w:hAnsi="Arial" w:cs="Arial"/>
              </w:rPr>
            </w:pPr>
            <w:r>
              <w:rPr>
                <w:rFonts w:ascii="Arial" w:hAnsi="Arial" w:cs="Arial"/>
              </w:rPr>
              <w:t>1.</w:t>
            </w:r>
          </w:p>
        </w:tc>
        <w:tc>
          <w:tcPr>
            <w:tcW w:w="5592" w:type="dxa"/>
            <w:tcMar/>
          </w:tcPr>
          <w:p w:rsidRPr="008E1368" w:rsidR="00587EB0" w:rsidP="00587EB0" w:rsidRDefault="00587EB0" w14:paraId="32E76AA1" w14:textId="3A1AAE36">
            <w:pPr>
              <w:rPr>
                <w:rFonts w:ascii="Arial" w:hAnsi="Arial" w:cs="Arial"/>
              </w:rPr>
            </w:pPr>
            <w:r w:rsidRPr="008E1368">
              <w:rPr>
                <w:rFonts w:ascii="Arial" w:hAnsi="Arial" w:cs="Arial"/>
              </w:rPr>
              <w:t>Review potential barriers to engagement, developing greater dialogue with any specialist groups.</w:t>
            </w:r>
          </w:p>
        </w:tc>
        <w:tc>
          <w:tcPr>
            <w:tcW w:w="2362" w:type="dxa"/>
            <w:tcMar/>
          </w:tcPr>
          <w:p w:rsidR="00587EB0" w:rsidP="00587EB0" w:rsidRDefault="60169427" w14:paraId="72F269D1" w14:textId="25A5A997">
            <w:pPr>
              <w:rPr>
                <w:rFonts w:ascii="Arial" w:hAnsi="Arial" w:cs="Arial"/>
              </w:rPr>
            </w:pPr>
            <w:r w:rsidRPr="669A14FB">
              <w:rPr>
                <w:rFonts w:ascii="Arial" w:hAnsi="Arial" w:cs="Arial"/>
              </w:rPr>
              <w:t>Plan in place Oct 24</w:t>
            </w:r>
          </w:p>
        </w:tc>
        <w:tc>
          <w:tcPr>
            <w:tcW w:w="2362" w:type="dxa"/>
            <w:tcMar/>
          </w:tcPr>
          <w:p w:rsidR="00587EB0" w:rsidP="00587EB0" w:rsidRDefault="60169427" w14:paraId="58D27421" w14:textId="68AA5252">
            <w:pPr>
              <w:rPr>
                <w:rFonts w:ascii="Arial" w:hAnsi="Arial" w:cs="Arial"/>
              </w:rPr>
            </w:pPr>
            <w:r w:rsidRPr="669A14FB">
              <w:rPr>
                <w:rFonts w:ascii="Arial" w:hAnsi="Arial" w:cs="Arial"/>
              </w:rPr>
              <w:t>Kerrie Gallagher</w:t>
            </w:r>
            <w:r w:rsidR="00876743">
              <w:rPr>
                <w:rFonts w:ascii="Arial" w:hAnsi="Arial" w:cs="Arial"/>
              </w:rPr>
              <w:t xml:space="preserve">, </w:t>
            </w:r>
            <w:r w:rsidRPr="00876743" w:rsidR="00876743">
              <w:rPr>
                <w:rFonts w:ascii="Arial" w:hAnsi="Arial" w:cs="Arial"/>
              </w:rPr>
              <w:t>Health and Wellbeing Senior Manager</w:t>
            </w:r>
          </w:p>
        </w:tc>
      </w:tr>
      <w:tr w:rsidR="00587EB0" w:rsidTr="632E0ECA" w14:paraId="1678B733" w14:textId="77777777">
        <w:trPr>
          <w:trHeight w:val="1029"/>
        </w:trPr>
        <w:tc>
          <w:tcPr>
            <w:tcW w:w="639" w:type="dxa"/>
            <w:tcMar/>
          </w:tcPr>
          <w:p w:rsidRPr="008E1368" w:rsidR="00587EB0" w:rsidP="00587EB0" w:rsidRDefault="00587EB0" w14:paraId="40A8C707" w14:textId="77777777">
            <w:pPr>
              <w:jc w:val="center"/>
              <w:rPr>
                <w:rFonts w:ascii="Arial" w:hAnsi="Arial" w:cs="Arial"/>
              </w:rPr>
            </w:pPr>
            <w:r>
              <w:rPr>
                <w:rFonts w:ascii="Arial" w:hAnsi="Arial" w:cs="Arial"/>
              </w:rPr>
              <w:t>2.</w:t>
            </w:r>
          </w:p>
        </w:tc>
        <w:tc>
          <w:tcPr>
            <w:tcW w:w="5592" w:type="dxa"/>
            <w:tcMar/>
          </w:tcPr>
          <w:p w:rsidRPr="008E1368" w:rsidR="00587EB0" w:rsidP="00587EB0" w:rsidRDefault="459C415B" w14:paraId="25E83907" w14:textId="1E1C8BB1">
            <w:pPr>
              <w:rPr>
                <w:rFonts w:ascii="Arial" w:hAnsi="Arial" w:cs="Arial"/>
              </w:rPr>
            </w:pPr>
            <w:r w:rsidRPr="57575B3A">
              <w:rPr>
                <w:rFonts w:ascii="Arial" w:hAnsi="Arial" w:cs="Arial"/>
              </w:rPr>
              <w:t>Reduce health inequalities</w:t>
            </w:r>
            <w:r w:rsidRPr="57575B3A" w:rsidR="6047CB29">
              <w:rPr>
                <w:rFonts w:ascii="Arial" w:hAnsi="Arial" w:cs="Arial"/>
              </w:rPr>
              <w:t xml:space="preserve"> through a range of activities and services, including the provision of </w:t>
            </w:r>
            <w:r w:rsidRPr="57575B3A" w:rsidR="6975FD67">
              <w:rPr>
                <w:rFonts w:ascii="Arial" w:hAnsi="Arial" w:cs="Arial"/>
              </w:rPr>
              <w:t>accessible</w:t>
            </w:r>
            <w:r w:rsidRPr="57575B3A" w:rsidR="6047CB29">
              <w:rPr>
                <w:rFonts w:ascii="Arial" w:hAnsi="Arial" w:cs="Arial"/>
              </w:rPr>
              <w:t xml:space="preserve"> leisure facili</w:t>
            </w:r>
            <w:r w:rsidRPr="57575B3A" w:rsidR="48443DDE">
              <w:rPr>
                <w:rFonts w:ascii="Arial" w:hAnsi="Arial" w:cs="Arial"/>
              </w:rPr>
              <w:t>ties</w:t>
            </w:r>
            <w:r w:rsidRPr="57575B3A">
              <w:rPr>
                <w:rFonts w:ascii="Arial" w:hAnsi="Arial" w:cs="Arial"/>
              </w:rPr>
              <w:t>.</w:t>
            </w:r>
          </w:p>
        </w:tc>
        <w:tc>
          <w:tcPr>
            <w:tcW w:w="2362" w:type="dxa"/>
            <w:tcMar/>
          </w:tcPr>
          <w:p w:rsidRPr="21FE51B0" w:rsidR="00587EB0" w:rsidP="00587EB0" w:rsidRDefault="7292C968" w14:paraId="58E08115" w14:textId="64D53FD6">
            <w:pPr>
              <w:rPr>
                <w:rFonts w:ascii="Arial" w:hAnsi="Arial" w:cs="Arial"/>
              </w:rPr>
            </w:pPr>
            <w:r w:rsidRPr="57575B3A">
              <w:rPr>
                <w:rFonts w:ascii="Arial" w:hAnsi="Arial" w:cs="Arial"/>
              </w:rPr>
              <w:t xml:space="preserve">Ongoing </w:t>
            </w:r>
          </w:p>
        </w:tc>
        <w:tc>
          <w:tcPr>
            <w:tcW w:w="2362" w:type="dxa"/>
            <w:tcMar/>
          </w:tcPr>
          <w:p w:rsidRPr="21FE51B0" w:rsidR="00587EB0" w:rsidP="632E0ECA" w:rsidRDefault="7292C968" w14:paraId="475C6347" w14:textId="0C6657C0" w14:noSpellErr="1">
            <w:pPr>
              <w:rPr>
                <w:rFonts w:ascii="Arial" w:hAnsi="Arial" w:cs="Arial"/>
              </w:rPr>
            </w:pPr>
            <w:r w:rsidRPr="632E0ECA" w:rsidR="7292C968">
              <w:rPr>
                <w:rFonts w:ascii="Arial" w:hAnsi="Arial" w:cs="Arial"/>
              </w:rPr>
              <w:t>Matt Allen, Senior Leisure Operations Manager</w:t>
            </w:r>
          </w:p>
          <w:p w:rsidRPr="21FE51B0" w:rsidR="00587EB0" w:rsidP="632E0ECA" w:rsidRDefault="7292C968" w14:paraId="5D40B90F" w14:textId="48AFD2E1">
            <w:pPr>
              <w:pStyle w:val="Normal"/>
              <w:rPr>
                <w:rFonts w:ascii="Arial" w:hAnsi="Arial" w:cs="Arial"/>
              </w:rPr>
            </w:pPr>
          </w:p>
          <w:p w:rsidRPr="21FE51B0" w:rsidR="00587EB0" w:rsidP="632E0ECA" w:rsidRDefault="7292C968" w14:paraId="37C4DDAB" w14:textId="58F2F241">
            <w:pPr>
              <w:pStyle w:val="Normal"/>
              <w:rPr>
                <w:rFonts w:ascii="Arial" w:hAnsi="Arial" w:cs="Arial"/>
              </w:rPr>
            </w:pPr>
            <w:r w:rsidRPr="632E0ECA" w:rsidR="61194536">
              <w:rPr>
                <w:rFonts w:ascii="Arial" w:hAnsi="Arial" w:cs="Arial"/>
              </w:rPr>
              <w:t>Dan Goodwin, Community Enablement  Manager</w:t>
            </w:r>
          </w:p>
        </w:tc>
      </w:tr>
      <w:tr w:rsidR="00587EB0" w:rsidTr="632E0ECA" w14:paraId="6CD2126F" w14:textId="77777777">
        <w:trPr>
          <w:trHeight w:val="768"/>
        </w:trPr>
        <w:tc>
          <w:tcPr>
            <w:tcW w:w="639" w:type="dxa"/>
            <w:tcMar/>
          </w:tcPr>
          <w:p w:rsidR="00587EB0" w:rsidP="00587EB0" w:rsidRDefault="00587EB0" w14:paraId="3018DD58" w14:textId="77777777">
            <w:pPr>
              <w:jc w:val="center"/>
              <w:rPr>
                <w:rFonts w:ascii="Arial" w:hAnsi="Arial" w:cs="Arial"/>
              </w:rPr>
            </w:pPr>
            <w:r>
              <w:rPr>
                <w:rFonts w:ascii="Arial" w:hAnsi="Arial" w:cs="Arial"/>
              </w:rPr>
              <w:t>3.</w:t>
            </w:r>
          </w:p>
        </w:tc>
        <w:tc>
          <w:tcPr>
            <w:tcW w:w="5592" w:type="dxa"/>
            <w:tcMar/>
          </w:tcPr>
          <w:p w:rsidRPr="21FE51B0" w:rsidR="00587EB0" w:rsidP="00587EB0" w:rsidRDefault="00587EB0" w14:paraId="44F04D30" w14:textId="6DC55538">
            <w:pPr>
              <w:rPr>
                <w:rFonts w:ascii="Arial" w:hAnsi="Arial" w:cs="Arial"/>
              </w:rPr>
            </w:pPr>
            <w:r w:rsidRPr="41A1885A">
              <w:rPr>
                <w:rFonts w:ascii="Arial" w:hAnsi="Arial" w:cs="Arial"/>
              </w:rPr>
              <w:t>Increase the number of vulnerable people helped to maintain independence in homes suitable for them through the objectives identified in our Delivery Plan.</w:t>
            </w:r>
          </w:p>
        </w:tc>
        <w:tc>
          <w:tcPr>
            <w:tcW w:w="2362" w:type="dxa"/>
            <w:tcMar/>
          </w:tcPr>
          <w:p w:rsidR="00587EB0" w:rsidP="00587EB0" w:rsidRDefault="6443F6B2" w14:paraId="51CE0A92" w14:textId="1FE50E92">
            <w:pPr>
              <w:rPr>
                <w:rFonts w:ascii="Arial" w:hAnsi="Arial" w:cs="Arial"/>
              </w:rPr>
            </w:pPr>
            <w:r w:rsidRPr="669A14FB">
              <w:rPr>
                <w:rFonts w:ascii="Arial" w:hAnsi="Arial" w:cs="Arial"/>
              </w:rPr>
              <w:t>Scoping report – Jul 24</w:t>
            </w:r>
          </w:p>
        </w:tc>
        <w:tc>
          <w:tcPr>
            <w:tcW w:w="2362" w:type="dxa"/>
            <w:tcMar/>
          </w:tcPr>
          <w:p w:rsidR="00587EB0" w:rsidP="00587EB0" w:rsidRDefault="6443F6B2" w14:paraId="68785E99" w14:textId="0744A661">
            <w:pPr>
              <w:rPr>
                <w:rFonts w:ascii="Arial" w:hAnsi="Arial" w:cs="Arial"/>
              </w:rPr>
            </w:pPr>
            <w:r w:rsidRPr="669A14FB">
              <w:rPr>
                <w:rFonts w:ascii="Arial" w:hAnsi="Arial" w:cs="Arial"/>
              </w:rPr>
              <w:t>Louise Simmonds</w:t>
            </w:r>
            <w:r w:rsidR="00DF2CE5">
              <w:rPr>
                <w:rFonts w:ascii="Arial" w:hAnsi="Arial" w:cs="Arial"/>
              </w:rPr>
              <w:t xml:space="preserve">, </w:t>
            </w:r>
            <w:r w:rsidRPr="00DF2CE5" w:rsidR="00DF2CE5">
              <w:rPr>
                <w:rFonts w:ascii="Arial" w:hAnsi="Arial" w:cs="Arial"/>
              </w:rPr>
              <w:t>Housing and Health Manager</w:t>
            </w:r>
          </w:p>
        </w:tc>
      </w:tr>
      <w:tr w:rsidR="00587EB0" w:rsidTr="632E0ECA" w14:paraId="785FF543" w14:textId="77777777">
        <w:trPr>
          <w:trHeight w:val="768"/>
        </w:trPr>
        <w:tc>
          <w:tcPr>
            <w:tcW w:w="639" w:type="dxa"/>
            <w:tcMar/>
          </w:tcPr>
          <w:p w:rsidR="00587EB0" w:rsidP="00587EB0" w:rsidRDefault="00587EB0" w14:paraId="46CD2DC5" w14:textId="0BAC4C07">
            <w:pPr>
              <w:jc w:val="center"/>
              <w:rPr>
                <w:rFonts w:ascii="Arial" w:hAnsi="Arial" w:cs="Arial"/>
              </w:rPr>
            </w:pPr>
            <w:r>
              <w:rPr>
                <w:rFonts w:ascii="Arial" w:hAnsi="Arial" w:cs="Arial"/>
              </w:rPr>
              <w:t>4.</w:t>
            </w:r>
          </w:p>
        </w:tc>
        <w:tc>
          <w:tcPr>
            <w:tcW w:w="5592" w:type="dxa"/>
            <w:tcMar/>
          </w:tcPr>
          <w:p w:rsidRPr="00E8300C" w:rsidR="00587EB0" w:rsidP="00587EB0" w:rsidRDefault="00587EB0" w14:paraId="4861C418" w14:textId="224DB0E5">
            <w:pPr>
              <w:rPr>
                <w:rFonts w:ascii="Arial" w:hAnsi="Arial" w:cs="Arial"/>
              </w:rPr>
            </w:pPr>
            <w:r>
              <w:rPr>
                <w:rFonts w:ascii="Arial" w:hAnsi="Arial" w:cs="Arial"/>
              </w:rPr>
              <w:t>Work with our partners to c</w:t>
            </w:r>
            <w:r w:rsidRPr="008E1368">
              <w:rPr>
                <w:rFonts w:ascii="Arial" w:hAnsi="Arial" w:cs="Arial"/>
              </w:rPr>
              <w:t>ontinue to engage with service users who identify as, or who are identified has experiencing vulnerabilities, either through our Help Hub or other service areas.</w:t>
            </w:r>
          </w:p>
        </w:tc>
        <w:tc>
          <w:tcPr>
            <w:tcW w:w="2362" w:type="dxa"/>
            <w:tcMar/>
          </w:tcPr>
          <w:p w:rsidR="00587EB0" w:rsidP="00587EB0" w:rsidRDefault="4396694B" w14:paraId="69ACAB47" w14:textId="0EF38C45">
            <w:pPr>
              <w:rPr>
                <w:rFonts w:ascii="Arial" w:hAnsi="Arial" w:cs="Arial"/>
              </w:rPr>
            </w:pPr>
            <w:r w:rsidRPr="669A14FB">
              <w:rPr>
                <w:rFonts w:ascii="Arial" w:hAnsi="Arial" w:cs="Arial"/>
              </w:rPr>
              <w:t xml:space="preserve">Demand profile complete </w:t>
            </w:r>
            <w:proofErr w:type="spellStart"/>
            <w:r w:rsidRPr="669A14FB">
              <w:rPr>
                <w:rFonts w:ascii="Arial" w:hAnsi="Arial" w:cs="Arial"/>
              </w:rPr>
              <w:t>Qtr</w:t>
            </w:r>
            <w:proofErr w:type="spellEnd"/>
            <w:r w:rsidRPr="669A14FB">
              <w:rPr>
                <w:rFonts w:ascii="Arial" w:hAnsi="Arial" w:cs="Arial"/>
              </w:rPr>
              <w:t xml:space="preserve"> 2</w:t>
            </w:r>
          </w:p>
        </w:tc>
        <w:tc>
          <w:tcPr>
            <w:tcW w:w="2362" w:type="dxa"/>
            <w:tcMar/>
          </w:tcPr>
          <w:p w:rsidR="00587EB0" w:rsidP="00587EB0" w:rsidRDefault="4396694B" w14:paraId="2033A57A" w14:textId="5EB29A40">
            <w:pPr>
              <w:rPr>
                <w:rFonts w:ascii="Arial" w:hAnsi="Arial" w:cs="Arial"/>
              </w:rPr>
            </w:pPr>
            <w:r w:rsidRPr="669A14FB">
              <w:rPr>
                <w:rFonts w:ascii="Arial" w:hAnsi="Arial" w:cs="Arial"/>
              </w:rPr>
              <w:t>Lindsay Sayer</w:t>
            </w:r>
            <w:r w:rsidR="00DF2CE5">
              <w:rPr>
                <w:rFonts w:ascii="Arial" w:hAnsi="Arial" w:cs="Arial"/>
              </w:rPr>
              <w:t xml:space="preserve">, </w:t>
            </w:r>
            <w:r w:rsidRPr="00DF2CE5" w:rsidR="00DF2CE5">
              <w:rPr>
                <w:rFonts w:ascii="Arial" w:hAnsi="Arial" w:cs="Arial"/>
              </w:rPr>
              <w:t>Partnership and Innovation Programme Manager</w:t>
            </w:r>
          </w:p>
        </w:tc>
      </w:tr>
      <w:tr w:rsidR="00587EB0" w:rsidTr="632E0ECA" w14:paraId="7727E4E1" w14:textId="77777777">
        <w:trPr>
          <w:trHeight w:val="768"/>
        </w:trPr>
        <w:tc>
          <w:tcPr>
            <w:tcW w:w="639" w:type="dxa"/>
            <w:tcMar/>
          </w:tcPr>
          <w:p w:rsidR="00587EB0" w:rsidP="00587EB0" w:rsidRDefault="00587EB0" w14:paraId="1450F12C" w14:textId="0C9C75BB">
            <w:pPr>
              <w:jc w:val="center"/>
              <w:rPr>
                <w:rFonts w:ascii="Arial" w:hAnsi="Arial" w:cs="Arial"/>
              </w:rPr>
            </w:pPr>
            <w:r>
              <w:rPr>
                <w:rFonts w:ascii="Arial" w:hAnsi="Arial" w:cs="Arial"/>
              </w:rPr>
              <w:t>5.</w:t>
            </w:r>
          </w:p>
        </w:tc>
        <w:tc>
          <w:tcPr>
            <w:tcW w:w="5592" w:type="dxa"/>
            <w:tcMar/>
          </w:tcPr>
          <w:p w:rsidRPr="00E8300C" w:rsidR="00587EB0" w:rsidP="00587EB0" w:rsidRDefault="00587EB0" w14:paraId="0040D2C5" w14:textId="1988024F">
            <w:pPr>
              <w:rPr>
                <w:rFonts w:ascii="Arial" w:hAnsi="Arial" w:cs="Arial"/>
              </w:rPr>
            </w:pPr>
            <w:r>
              <w:rPr>
                <w:rFonts w:ascii="Arial" w:hAnsi="Arial" w:cs="Arial"/>
              </w:rPr>
              <w:t>S</w:t>
            </w:r>
            <w:r w:rsidRPr="00B10966">
              <w:rPr>
                <w:rFonts w:ascii="Arial" w:hAnsi="Arial" w:cs="Arial"/>
              </w:rPr>
              <w:t>upport events and projects that promote and celebrate equalities</w:t>
            </w:r>
            <w:r>
              <w:rPr>
                <w:rFonts w:ascii="Arial" w:hAnsi="Arial" w:cs="Arial"/>
              </w:rPr>
              <w:t>.</w:t>
            </w:r>
          </w:p>
        </w:tc>
        <w:tc>
          <w:tcPr>
            <w:tcW w:w="2362" w:type="dxa"/>
            <w:tcMar/>
          </w:tcPr>
          <w:p w:rsidR="00587EB0" w:rsidP="00587EB0" w:rsidRDefault="663B6E25" w14:paraId="51E2825E" w14:textId="27F7D70E">
            <w:pPr>
              <w:rPr>
                <w:rFonts w:ascii="Arial" w:hAnsi="Arial" w:cs="Arial"/>
              </w:rPr>
            </w:pPr>
            <w:r w:rsidRPr="669A14FB">
              <w:rPr>
                <w:rFonts w:ascii="Arial" w:hAnsi="Arial" w:cs="Arial"/>
              </w:rPr>
              <w:t xml:space="preserve">Ongoing </w:t>
            </w:r>
          </w:p>
        </w:tc>
        <w:tc>
          <w:tcPr>
            <w:tcW w:w="2362" w:type="dxa"/>
            <w:tcMar/>
          </w:tcPr>
          <w:p w:rsidR="00587EB0" w:rsidP="00587EB0" w:rsidRDefault="663B6E25" w14:paraId="79B02FD5" w14:textId="725033A9">
            <w:pPr>
              <w:rPr>
                <w:rFonts w:ascii="Arial" w:hAnsi="Arial" w:cs="Arial"/>
              </w:rPr>
            </w:pPr>
            <w:r w:rsidRPr="669A14FB">
              <w:rPr>
                <w:rFonts w:ascii="Arial" w:hAnsi="Arial" w:cs="Arial"/>
              </w:rPr>
              <w:t>Dan Goodwin</w:t>
            </w:r>
            <w:r w:rsidR="006D0039">
              <w:rPr>
                <w:rFonts w:ascii="Arial" w:hAnsi="Arial" w:cs="Arial"/>
              </w:rPr>
              <w:t xml:space="preserve">, </w:t>
            </w:r>
            <w:r w:rsidRPr="006D0039" w:rsidR="006D0039">
              <w:rPr>
                <w:rFonts w:ascii="Arial" w:hAnsi="Arial" w:cs="Arial"/>
              </w:rPr>
              <w:t>Community Enablement Manager</w:t>
            </w:r>
          </w:p>
        </w:tc>
      </w:tr>
    </w:tbl>
    <w:p w:rsidR="00587EB0" w:rsidP="00587EB0" w:rsidRDefault="00587EB0" w14:paraId="3008C705" w14:textId="77777777">
      <w:pPr>
        <w:jc w:val="both"/>
        <w:rPr>
          <w:rFonts w:ascii="Arial" w:hAnsi="Arial" w:cs="Arial"/>
          <w:b/>
        </w:rPr>
      </w:pPr>
    </w:p>
    <w:p w:rsidR="005A2A7A" w:rsidP="00853651" w:rsidRDefault="007D323A" w14:paraId="0FBD046F" w14:textId="65E9C054">
      <w:pPr>
        <w:pStyle w:val="ListParagraph"/>
        <w:numPr>
          <w:ilvl w:val="0"/>
          <w:numId w:val="1"/>
        </w:numPr>
        <w:jc w:val="both"/>
        <w:rPr>
          <w:rFonts w:ascii="Arial" w:hAnsi="Arial" w:cs="Arial"/>
          <w:b/>
        </w:rPr>
      </w:pPr>
      <w:r>
        <w:rPr>
          <w:rFonts w:ascii="Arial" w:hAnsi="Arial" w:cs="Arial"/>
          <w:b/>
        </w:rPr>
        <w:t xml:space="preserve">Be </w:t>
      </w:r>
      <w:r w:rsidRPr="00771A8D" w:rsidR="005A2A7A">
        <w:rPr>
          <w:rFonts w:ascii="Arial" w:hAnsi="Arial" w:cs="Arial"/>
          <w:b/>
        </w:rPr>
        <w:t>inclusive employer</w:t>
      </w:r>
      <w:r w:rsidRPr="00771A8D" w:rsidR="00E54675">
        <w:rPr>
          <w:rFonts w:ascii="Arial" w:hAnsi="Arial" w:cs="Arial"/>
          <w:b/>
        </w:rPr>
        <w:t>s</w:t>
      </w:r>
      <w:r w:rsidRPr="00771A8D" w:rsidR="005A2A7A">
        <w:rPr>
          <w:rFonts w:ascii="Arial" w:hAnsi="Arial" w:cs="Arial"/>
          <w:b/>
        </w:rPr>
        <w:t xml:space="preserve">, </w:t>
      </w:r>
      <w:r w:rsidR="008644DC">
        <w:rPr>
          <w:rFonts w:ascii="Arial" w:hAnsi="Arial" w:cs="Arial"/>
          <w:b/>
        </w:rPr>
        <w:t xml:space="preserve">taking active steps to </w:t>
      </w:r>
      <w:r w:rsidR="00A7624F">
        <w:rPr>
          <w:rFonts w:ascii="Arial" w:hAnsi="Arial" w:cs="Arial"/>
          <w:b/>
        </w:rPr>
        <w:t>encourage</w:t>
      </w:r>
      <w:r w:rsidR="008F20C9">
        <w:rPr>
          <w:rFonts w:ascii="Arial" w:hAnsi="Arial" w:cs="Arial"/>
          <w:b/>
        </w:rPr>
        <w:t xml:space="preserve"> and</w:t>
      </w:r>
      <w:r w:rsidRPr="00771A8D" w:rsidR="005A2A7A">
        <w:rPr>
          <w:rFonts w:ascii="Arial" w:hAnsi="Arial" w:cs="Arial"/>
          <w:b/>
        </w:rPr>
        <w:t xml:space="preserve"> identifying any underrepresented groups in the workforce</w:t>
      </w:r>
      <w:r w:rsidR="007E4940">
        <w:rPr>
          <w:rFonts w:ascii="Arial" w:hAnsi="Arial" w:cs="Arial"/>
          <w:b/>
        </w:rPr>
        <w:t xml:space="preserve"> (</w:t>
      </w:r>
      <w:r w:rsidR="00C30686">
        <w:rPr>
          <w:rFonts w:ascii="Arial" w:hAnsi="Arial" w:cs="Arial"/>
          <w:b/>
        </w:rPr>
        <w:t>Victoria Finch, HR &amp; OD Lead</w:t>
      </w:r>
      <w:r w:rsidR="007E4940">
        <w:rPr>
          <w:rFonts w:ascii="Arial" w:hAnsi="Arial" w:cs="Arial"/>
          <w:b/>
        </w:rPr>
        <w:t xml:space="preserve"> – Lead Senior Officer)</w:t>
      </w:r>
      <w:r w:rsidRPr="00771A8D" w:rsidR="007E4940">
        <w:rPr>
          <w:rFonts w:ascii="Arial" w:hAnsi="Arial" w:cs="Arial"/>
          <w:b/>
        </w:rPr>
        <w:t>:</w:t>
      </w:r>
    </w:p>
    <w:tbl>
      <w:tblPr>
        <w:tblStyle w:val="TableGrid"/>
        <w:tblW w:w="10955" w:type="dxa"/>
        <w:tblInd w:w="-1139" w:type="dxa"/>
        <w:tblLook w:val="04A0" w:firstRow="1" w:lastRow="0" w:firstColumn="1" w:lastColumn="0" w:noHBand="0" w:noVBand="1"/>
      </w:tblPr>
      <w:tblGrid>
        <w:gridCol w:w="605"/>
        <w:gridCol w:w="5632"/>
        <w:gridCol w:w="2410"/>
        <w:gridCol w:w="2308"/>
      </w:tblGrid>
      <w:tr w:rsidR="00B776DF" w:rsidTr="00781B54" w14:paraId="2FE27BAB" w14:textId="77777777">
        <w:trPr>
          <w:trHeight w:val="261"/>
        </w:trPr>
        <w:tc>
          <w:tcPr>
            <w:tcW w:w="605" w:type="dxa"/>
            <w:shd w:val="clear" w:color="auto" w:fill="E2EFD9" w:themeFill="accent6" w:themeFillTint="33"/>
          </w:tcPr>
          <w:p w:rsidRPr="00E53E59" w:rsidR="00E47F78" w:rsidRDefault="00E47F78" w14:paraId="624D9262" w14:textId="77777777">
            <w:pPr>
              <w:jc w:val="center"/>
              <w:rPr>
                <w:rFonts w:ascii="Arial" w:hAnsi="Arial" w:cs="Arial"/>
                <w:b/>
                <w:bCs/>
              </w:rPr>
            </w:pPr>
            <w:r w:rsidRPr="00E53E59">
              <w:rPr>
                <w:rFonts w:ascii="Arial" w:hAnsi="Arial" w:cs="Arial"/>
                <w:b/>
                <w:bCs/>
              </w:rPr>
              <w:t>Ref</w:t>
            </w:r>
          </w:p>
        </w:tc>
        <w:tc>
          <w:tcPr>
            <w:tcW w:w="5632" w:type="dxa"/>
            <w:shd w:val="clear" w:color="auto" w:fill="E2EFD9" w:themeFill="accent6" w:themeFillTint="33"/>
          </w:tcPr>
          <w:p w:rsidRPr="00E53E59" w:rsidR="00E47F78" w:rsidRDefault="00E47F78" w14:paraId="54F5B382" w14:textId="77777777">
            <w:pPr>
              <w:rPr>
                <w:rFonts w:ascii="Arial" w:hAnsi="Arial" w:cs="Arial"/>
                <w:b/>
                <w:bCs/>
              </w:rPr>
            </w:pPr>
            <w:r w:rsidRPr="00E53E59">
              <w:rPr>
                <w:rFonts w:ascii="Arial" w:hAnsi="Arial" w:cs="Arial"/>
                <w:b/>
                <w:bCs/>
              </w:rPr>
              <w:t>Action</w:t>
            </w:r>
          </w:p>
        </w:tc>
        <w:tc>
          <w:tcPr>
            <w:tcW w:w="2410" w:type="dxa"/>
            <w:shd w:val="clear" w:color="auto" w:fill="E2EFD9" w:themeFill="accent6" w:themeFillTint="33"/>
          </w:tcPr>
          <w:p w:rsidRPr="00E53E59" w:rsidR="00E47F78" w:rsidRDefault="00E47F78" w14:paraId="70F4705E" w14:textId="77777777">
            <w:pPr>
              <w:rPr>
                <w:rFonts w:ascii="Arial" w:hAnsi="Arial" w:cs="Arial"/>
                <w:b/>
                <w:bCs/>
              </w:rPr>
            </w:pPr>
            <w:r w:rsidRPr="00E53E59">
              <w:rPr>
                <w:rFonts w:ascii="Arial" w:hAnsi="Arial" w:cs="Arial"/>
                <w:b/>
                <w:bCs/>
              </w:rPr>
              <w:t>Timeline</w:t>
            </w:r>
          </w:p>
        </w:tc>
        <w:tc>
          <w:tcPr>
            <w:tcW w:w="2308" w:type="dxa"/>
            <w:shd w:val="clear" w:color="auto" w:fill="E2EFD9" w:themeFill="accent6" w:themeFillTint="33"/>
          </w:tcPr>
          <w:p w:rsidRPr="00E53E59" w:rsidR="00E47F78" w:rsidRDefault="00E47F78" w14:paraId="6C87C6CC" w14:textId="77777777">
            <w:pPr>
              <w:rPr>
                <w:rFonts w:ascii="Arial" w:hAnsi="Arial" w:cs="Arial"/>
                <w:b/>
                <w:bCs/>
              </w:rPr>
            </w:pPr>
            <w:r w:rsidRPr="00E53E59">
              <w:rPr>
                <w:rFonts w:ascii="Arial" w:hAnsi="Arial" w:cs="Arial"/>
                <w:b/>
                <w:bCs/>
              </w:rPr>
              <w:t>Lead Officer</w:t>
            </w:r>
          </w:p>
        </w:tc>
      </w:tr>
      <w:tr w:rsidR="00E47F78" w:rsidTr="00781B54" w14:paraId="0C84223E" w14:textId="77777777">
        <w:trPr>
          <w:trHeight w:val="506"/>
        </w:trPr>
        <w:tc>
          <w:tcPr>
            <w:tcW w:w="605" w:type="dxa"/>
          </w:tcPr>
          <w:p w:rsidRPr="008E1368" w:rsidR="00E47F78" w:rsidP="00E47F78" w:rsidRDefault="00E47F78" w14:paraId="1EAF16D4" w14:textId="77777777">
            <w:pPr>
              <w:jc w:val="center"/>
              <w:rPr>
                <w:rFonts w:ascii="Arial" w:hAnsi="Arial" w:cs="Arial"/>
              </w:rPr>
            </w:pPr>
            <w:r>
              <w:rPr>
                <w:rFonts w:ascii="Arial" w:hAnsi="Arial" w:cs="Arial"/>
              </w:rPr>
              <w:t>1.</w:t>
            </w:r>
          </w:p>
        </w:tc>
        <w:tc>
          <w:tcPr>
            <w:tcW w:w="5632" w:type="dxa"/>
          </w:tcPr>
          <w:p w:rsidRPr="008E1368" w:rsidR="00E47F78" w:rsidP="00E47F78" w:rsidRDefault="00E47F78" w14:paraId="3E0B9656" w14:textId="7244894D">
            <w:pPr>
              <w:rPr>
                <w:rFonts w:ascii="Arial" w:hAnsi="Arial" w:cs="Arial"/>
              </w:rPr>
            </w:pPr>
            <w:r w:rsidRPr="008E1368">
              <w:rPr>
                <w:rFonts w:ascii="Arial" w:hAnsi="Arial" w:cs="Arial"/>
              </w:rPr>
              <w:t>Continue to strive to be part of the Disability Confident Scheme</w:t>
            </w:r>
            <w:r>
              <w:rPr>
                <w:rFonts w:ascii="Arial" w:hAnsi="Arial" w:cs="Arial"/>
              </w:rPr>
              <w:t>, w</w:t>
            </w:r>
            <w:r w:rsidRPr="001B3AB1">
              <w:rPr>
                <w:rFonts w:ascii="Arial" w:hAnsi="Arial" w:cs="Arial"/>
              </w:rPr>
              <w:t>orking with the Job Centre and the Department of Work and Pensions to support and promote disabled people in the workplace</w:t>
            </w:r>
            <w:r>
              <w:rPr>
                <w:rFonts w:ascii="Arial" w:hAnsi="Arial" w:cs="Arial"/>
              </w:rPr>
              <w:t xml:space="preserve">. </w:t>
            </w:r>
          </w:p>
        </w:tc>
        <w:tc>
          <w:tcPr>
            <w:tcW w:w="2410" w:type="dxa"/>
          </w:tcPr>
          <w:p w:rsidRPr="563B4C87" w:rsidR="563B4C87" w:rsidP="563B4C87" w:rsidRDefault="563B4C87" w14:paraId="3628F3AE" w14:textId="125E2245">
            <w:pPr>
              <w:rPr>
                <w:rFonts w:ascii="Arial" w:hAnsi="Arial" w:cs="Arial"/>
              </w:rPr>
            </w:pPr>
            <w:r w:rsidRPr="563B4C87">
              <w:rPr>
                <w:rFonts w:ascii="Arial" w:hAnsi="Arial" w:cs="Arial"/>
              </w:rPr>
              <w:t xml:space="preserve">Regularly reviewed – ongoing </w:t>
            </w:r>
          </w:p>
        </w:tc>
        <w:tc>
          <w:tcPr>
            <w:tcW w:w="2308" w:type="dxa"/>
          </w:tcPr>
          <w:p w:rsidRPr="563B4C87" w:rsidR="563B4C87" w:rsidP="563B4C87" w:rsidRDefault="563B4C87" w14:paraId="787FC84C" w14:textId="60260972">
            <w:pPr>
              <w:rPr>
                <w:rFonts w:ascii="Arial" w:hAnsi="Arial" w:cs="Arial"/>
              </w:rPr>
            </w:pPr>
            <w:r w:rsidRPr="563B4C87">
              <w:rPr>
                <w:rFonts w:ascii="Arial" w:hAnsi="Arial" w:cs="Arial"/>
              </w:rPr>
              <w:t xml:space="preserve">Victoria Finch, </w:t>
            </w:r>
            <w:r w:rsidRPr="0DFBE790" w:rsidR="4AFEF67B">
              <w:rPr>
                <w:rFonts w:ascii="Arial" w:hAnsi="Arial" w:cs="Arial"/>
              </w:rPr>
              <w:t xml:space="preserve">Head </w:t>
            </w:r>
            <w:r w:rsidRPr="20D58C9C" w:rsidR="4AFEF67B">
              <w:rPr>
                <w:rFonts w:ascii="Arial" w:hAnsi="Arial" w:cs="Arial"/>
              </w:rPr>
              <w:t xml:space="preserve">of HR, </w:t>
            </w:r>
            <w:r w:rsidRPr="21F74930" w:rsidR="4AFEF67B">
              <w:rPr>
                <w:rFonts w:ascii="Arial" w:hAnsi="Arial" w:cs="Arial"/>
              </w:rPr>
              <w:t>OD</w:t>
            </w:r>
            <w:r w:rsidRPr="01B7911E" w:rsidR="4AFEF67B">
              <w:rPr>
                <w:rFonts w:ascii="Arial" w:hAnsi="Arial" w:cs="Arial"/>
              </w:rPr>
              <w:t xml:space="preserve"> &amp; Payroll </w:t>
            </w:r>
          </w:p>
        </w:tc>
      </w:tr>
      <w:tr w:rsidR="00E47F78" w:rsidTr="00781B54" w14:paraId="0BE5D0FD" w14:textId="77777777">
        <w:trPr>
          <w:trHeight w:val="1029"/>
        </w:trPr>
        <w:tc>
          <w:tcPr>
            <w:tcW w:w="605" w:type="dxa"/>
          </w:tcPr>
          <w:p w:rsidRPr="008E1368" w:rsidR="00E47F78" w:rsidP="00E47F78" w:rsidRDefault="00E47F78" w14:paraId="44224977" w14:textId="77777777">
            <w:pPr>
              <w:jc w:val="center"/>
              <w:rPr>
                <w:rFonts w:ascii="Arial" w:hAnsi="Arial" w:cs="Arial"/>
              </w:rPr>
            </w:pPr>
            <w:r>
              <w:rPr>
                <w:rFonts w:ascii="Arial" w:hAnsi="Arial" w:cs="Arial"/>
              </w:rPr>
              <w:t>2.</w:t>
            </w:r>
          </w:p>
        </w:tc>
        <w:tc>
          <w:tcPr>
            <w:tcW w:w="5632" w:type="dxa"/>
          </w:tcPr>
          <w:p w:rsidRPr="008E1368" w:rsidR="00E47F78" w:rsidP="00E47F78" w:rsidRDefault="00E47F78" w14:paraId="726922C2" w14:textId="201ABB56">
            <w:pPr>
              <w:rPr>
                <w:rFonts w:ascii="Arial" w:hAnsi="Arial" w:cs="Arial"/>
              </w:rPr>
            </w:pPr>
            <w:r w:rsidRPr="008E1368">
              <w:rPr>
                <w:rFonts w:ascii="Arial" w:hAnsi="Arial" w:cs="Arial"/>
              </w:rPr>
              <w:t>Continue to publish the gender pay gap data.</w:t>
            </w:r>
          </w:p>
        </w:tc>
        <w:tc>
          <w:tcPr>
            <w:tcW w:w="2410" w:type="dxa"/>
          </w:tcPr>
          <w:p w:rsidRPr="21FE51B0" w:rsidR="00E47F78" w:rsidP="00E47F78" w:rsidRDefault="767F0AF0" w14:paraId="46676616" w14:textId="35FD4855">
            <w:pPr>
              <w:rPr>
                <w:rFonts w:ascii="Arial" w:hAnsi="Arial" w:cs="Arial"/>
              </w:rPr>
            </w:pPr>
            <w:r w:rsidRPr="4FD42A5F">
              <w:rPr>
                <w:rFonts w:ascii="Arial" w:hAnsi="Arial" w:cs="Arial"/>
              </w:rPr>
              <w:t xml:space="preserve">Annual </w:t>
            </w:r>
            <w:r w:rsidRPr="13414D24">
              <w:rPr>
                <w:rFonts w:ascii="Arial" w:hAnsi="Arial" w:cs="Arial"/>
              </w:rPr>
              <w:t xml:space="preserve">publication </w:t>
            </w:r>
          </w:p>
        </w:tc>
        <w:tc>
          <w:tcPr>
            <w:tcW w:w="2308" w:type="dxa"/>
          </w:tcPr>
          <w:p w:rsidRPr="21FE51B0" w:rsidR="00E47F78" w:rsidP="00E47F78" w:rsidRDefault="767F0AF0" w14:paraId="07C42C58" w14:textId="3111389E">
            <w:pPr>
              <w:rPr>
                <w:rFonts w:ascii="Arial" w:hAnsi="Arial" w:cs="Arial"/>
              </w:rPr>
            </w:pPr>
            <w:r w:rsidRPr="65E4D8B5">
              <w:rPr>
                <w:rFonts w:ascii="Arial" w:hAnsi="Arial" w:cs="Arial"/>
              </w:rPr>
              <w:t>Victoria Finch</w:t>
            </w:r>
            <w:r w:rsidRPr="4B3D5DFE">
              <w:rPr>
                <w:rFonts w:ascii="Arial" w:hAnsi="Arial" w:cs="Arial"/>
              </w:rPr>
              <w:t>, Head of</w:t>
            </w:r>
            <w:r w:rsidRPr="05514C40">
              <w:rPr>
                <w:rFonts w:ascii="Arial" w:hAnsi="Arial" w:cs="Arial"/>
              </w:rPr>
              <w:t xml:space="preserve"> HR, OD</w:t>
            </w:r>
            <w:r w:rsidRPr="218425CF">
              <w:rPr>
                <w:rFonts w:ascii="Arial" w:hAnsi="Arial" w:cs="Arial"/>
              </w:rPr>
              <w:t xml:space="preserve"> &amp; Payroll </w:t>
            </w:r>
          </w:p>
        </w:tc>
      </w:tr>
      <w:tr w:rsidR="00E47F78" w:rsidTr="00781B54" w14:paraId="6DA71899" w14:textId="77777777">
        <w:trPr>
          <w:trHeight w:val="768"/>
        </w:trPr>
        <w:tc>
          <w:tcPr>
            <w:tcW w:w="605" w:type="dxa"/>
          </w:tcPr>
          <w:p w:rsidR="00E47F78" w:rsidP="00E47F78" w:rsidRDefault="00E47F78" w14:paraId="0A8F230D" w14:textId="77777777">
            <w:pPr>
              <w:jc w:val="center"/>
              <w:rPr>
                <w:rFonts w:ascii="Arial" w:hAnsi="Arial" w:cs="Arial"/>
              </w:rPr>
            </w:pPr>
            <w:r>
              <w:rPr>
                <w:rFonts w:ascii="Arial" w:hAnsi="Arial" w:cs="Arial"/>
              </w:rPr>
              <w:t>3.</w:t>
            </w:r>
          </w:p>
        </w:tc>
        <w:tc>
          <w:tcPr>
            <w:tcW w:w="5632" w:type="dxa"/>
          </w:tcPr>
          <w:p w:rsidRPr="21FE51B0" w:rsidR="00E47F78" w:rsidP="00E47F78" w:rsidRDefault="00E47F78" w14:paraId="3040527C" w14:textId="4790E833">
            <w:pPr>
              <w:rPr>
                <w:rFonts w:ascii="Arial" w:hAnsi="Arial" w:cs="Arial"/>
              </w:rPr>
            </w:pPr>
            <w:r>
              <w:rPr>
                <w:rFonts w:ascii="Arial" w:hAnsi="Arial" w:cs="Arial"/>
              </w:rPr>
              <w:t>D</w:t>
            </w:r>
            <w:r w:rsidRPr="000878D9">
              <w:rPr>
                <w:rFonts w:ascii="Arial" w:hAnsi="Arial" w:cs="Arial"/>
              </w:rPr>
              <w:t xml:space="preserve">evelop </w:t>
            </w:r>
            <w:r>
              <w:rPr>
                <w:rFonts w:ascii="Arial" w:hAnsi="Arial" w:cs="Arial"/>
              </w:rPr>
              <w:t xml:space="preserve">and continue to embed </w:t>
            </w:r>
            <w:r w:rsidRPr="000878D9">
              <w:rPr>
                <w:rFonts w:ascii="Arial" w:hAnsi="Arial" w:cs="Arial"/>
              </w:rPr>
              <w:t>a workplace environment where all our staff are treated with dignity and respect</w:t>
            </w:r>
            <w:r w:rsidRPr="0BC77E30" w:rsidR="3AE90E60">
              <w:rPr>
                <w:rFonts w:ascii="Arial" w:hAnsi="Arial" w:cs="Arial"/>
              </w:rPr>
              <w:t xml:space="preserve"> </w:t>
            </w:r>
            <w:r w:rsidRPr="31561CF3" w:rsidR="3AE90E60">
              <w:rPr>
                <w:rFonts w:ascii="Arial" w:hAnsi="Arial" w:cs="Arial"/>
              </w:rPr>
              <w:t xml:space="preserve">through the </w:t>
            </w:r>
            <w:r w:rsidRPr="029585B3" w:rsidR="3AE90E60">
              <w:rPr>
                <w:rFonts w:ascii="Arial" w:hAnsi="Arial" w:cs="Arial"/>
              </w:rPr>
              <w:t xml:space="preserve">Staff </w:t>
            </w:r>
            <w:r w:rsidRPr="7A36D1BD" w:rsidR="3AE90E60">
              <w:rPr>
                <w:rFonts w:ascii="Arial" w:hAnsi="Arial" w:cs="Arial"/>
              </w:rPr>
              <w:t>Forum</w:t>
            </w:r>
            <w:r w:rsidRPr="31561CF3">
              <w:rPr>
                <w:rFonts w:ascii="Arial" w:hAnsi="Arial" w:cs="Arial"/>
              </w:rPr>
              <w:t>.</w:t>
            </w:r>
          </w:p>
        </w:tc>
        <w:tc>
          <w:tcPr>
            <w:tcW w:w="2410" w:type="dxa"/>
          </w:tcPr>
          <w:p w:rsidR="00E47F78" w:rsidP="00E47F78" w:rsidRDefault="3A2BB5BA" w14:paraId="2EA931B2" w14:textId="791E961A">
            <w:pPr>
              <w:rPr>
                <w:rFonts w:ascii="Arial" w:hAnsi="Arial" w:cs="Arial"/>
              </w:rPr>
            </w:pPr>
            <w:r w:rsidRPr="4A9DD493">
              <w:rPr>
                <w:rFonts w:ascii="Arial" w:hAnsi="Arial" w:cs="Arial"/>
              </w:rPr>
              <w:t xml:space="preserve">Monthly meetings </w:t>
            </w:r>
          </w:p>
        </w:tc>
        <w:tc>
          <w:tcPr>
            <w:tcW w:w="2308" w:type="dxa"/>
          </w:tcPr>
          <w:p w:rsidR="00E47F78" w:rsidP="00E47F78" w:rsidRDefault="3A2BB5BA" w14:paraId="2BE43A8E" w14:textId="22D56427">
            <w:pPr>
              <w:rPr>
                <w:rFonts w:ascii="Arial" w:hAnsi="Arial" w:cs="Arial"/>
              </w:rPr>
            </w:pPr>
            <w:r w:rsidRPr="0C61DD97">
              <w:rPr>
                <w:rFonts w:ascii="Arial" w:hAnsi="Arial" w:cs="Arial"/>
              </w:rPr>
              <w:t xml:space="preserve">Victoria Finch, </w:t>
            </w:r>
            <w:r w:rsidRPr="0D5C5E25">
              <w:rPr>
                <w:rFonts w:ascii="Arial" w:hAnsi="Arial" w:cs="Arial"/>
              </w:rPr>
              <w:t xml:space="preserve">Head of HR, </w:t>
            </w:r>
            <w:r w:rsidRPr="654ED067">
              <w:rPr>
                <w:rFonts w:ascii="Arial" w:hAnsi="Arial" w:cs="Arial"/>
              </w:rPr>
              <w:t xml:space="preserve">OD &amp; </w:t>
            </w:r>
            <w:r w:rsidRPr="20A23626">
              <w:rPr>
                <w:rFonts w:ascii="Arial" w:hAnsi="Arial" w:cs="Arial"/>
              </w:rPr>
              <w:t xml:space="preserve">Payroll </w:t>
            </w:r>
          </w:p>
        </w:tc>
      </w:tr>
      <w:tr w:rsidR="00A30538" w:rsidTr="00781B54" w14:paraId="6D82583D" w14:textId="77777777">
        <w:trPr>
          <w:trHeight w:val="768"/>
        </w:trPr>
        <w:tc>
          <w:tcPr>
            <w:tcW w:w="605" w:type="dxa"/>
          </w:tcPr>
          <w:p w:rsidR="00A30538" w:rsidP="00E47F78" w:rsidRDefault="3A2BB5BA" w14:paraId="7D0B724D" w14:textId="5BC0A7B5">
            <w:pPr>
              <w:jc w:val="center"/>
              <w:rPr>
                <w:rFonts w:ascii="Arial" w:hAnsi="Arial" w:cs="Arial"/>
              </w:rPr>
            </w:pPr>
            <w:r w:rsidRPr="48FBAB3E">
              <w:rPr>
                <w:rFonts w:ascii="Arial" w:hAnsi="Arial" w:cs="Arial"/>
              </w:rPr>
              <w:t>4</w:t>
            </w:r>
            <w:r w:rsidRPr="3336E443">
              <w:rPr>
                <w:rFonts w:ascii="Arial" w:hAnsi="Arial" w:cs="Arial"/>
              </w:rPr>
              <w:t>.</w:t>
            </w:r>
          </w:p>
        </w:tc>
        <w:tc>
          <w:tcPr>
            <w:tcW w:w="5632" w:type="dxa"/>
          </w:tcPr>
          <w:p w:rsidR="00A30538" w:rsidP="00E47F78" w:rsidRDefault="00AE4B54" w14:paraId="3B2CE843" w14:textId="49960D79">
            <w:pPr>
              <w:rPr>
                <w:rFonts w:ascii="Arial" w:hAnsi="Arial" w:cs="Arial"/>
              </w:rPr>
            </w:pPr>
            <w:r>
              <w:rPr>
                <w:rFonts w:ascii="Arial" w:hAnsi="Arial" w:cs="Arial"/>
              </w:rPr>
              <w:t xml:space="preserve">Review our HR records to ensure we hold accurate </w:t>
            </w:r>
            <w:r w:rsidR="00C55585">
              <w:rPr>
                <w:rFonts w:ascii="Arial" w:hAnsi="Arial" w:cs="Arial"/>
              </w:rPr>
              <w:t xml:space="preserve">diversity records for employees (this is already being done as part of the Vista migration) </w:t>
            </w:r>
            <w:r w:rsidR="00EA4025">
              <w:rPr>
                <w:rFonts w:ascii="Arial" w:hAnsi="Arial" w:cs="Arial"/>
              </w:rPr>
              <w:t xml:space="preserve">and compare this to </w:t>
            </w:r>
            <w:r w:rsidR="00913918">
              <w:rPr>
                <w:rFonts w:ascii="Arial" w:hAnsi="Arial" w:cs="Arial"/>
              </w:rPr>
              <w:t>updated</w:t>
            </w:r>
            <w:r w:rsidR="00EA4025">
              <w:rPr>
                <w:rFonts w:ascii="Arial" w:hAnsi="Arial" w:cs="Arial"/>
              </w:rPr>
              <w:t xml:space="preserve"> diversity demographics for our areas.</w:t>
            </w:r>
          </w:p>
        </w:tc>
        <w:tc>
          <w:tcPr>
            <w:tcW w:w="2410" w:type="dxa"/>
          </w:tcPr>
          <w:p w:rsidR="00A30538" w:rsidP="00E47F78" w:rsidRDefault="00836469" w14:paraId="44D72895" w14:textId="57C859E1">
            <w:pPr>
              <w:rPr>
                <w:rFonts w:ascii="Arial" w:hAnsi="Arial" w:cs="Arial"/>
              </w:rPr>
            </w:pPr>
            <w:r>
              <w:rPr>
                <w:rFonts w:ascii="Arial" w:hAnsi="Arial" w:cs="Arial"/>
              </w:rPr>
              <w:t>By Sep 24</w:t>
            </w:r>
          </w:p>
        </w:tc>
        <w:tc>
          <w:tcPr>
            <w:tcW w:w="2308" w:type="dxa"/>
          </w:tcPr>
          <w:p w:rsidR="00A30538" w:rsidP="00E47F78" w:rsidRDefault="032BC36E" w14:paraId="0D3CB898" w14:textId="6BAA568C">
            <w:pPr>
              <w:rPr>
                <w:rFonts w:ascii="Arial" w:hAnsi="Arial" w:cs="Arial"/>
              </w:rPr>
            </w:pPr>
            <w:r w:rsidRPr="23E02FDC">
              <w:rPr>
                <w:rFonts w:ascii="Arial" w:hAnsi="Arial" w:cs="Arial"/>
              </w:rPr>
              <w:t xml:space="preserve">Victoria Finch, </w:t>
            </w:r>
            <w:r w:rsidRPr="14CE7264">
              <w:rPr>
                <w:rFonts w:ascii="Arial" w:hAnsi="Arial" w:cs="Arial"/>
              </w:rPr>
              <w:t xml:space="preserve">Head of HR, OD </w:t>
            </w:r>
            <w:r w:rsidRPr="660DDB23">
              <w:rPr>
                <w:rFonts w:ascii="Arial" w:hAnsi="Arial" w:cs="Arial"/>
              </w:rPr>
              <w:t xml:space="preserve">&amp; Payroll </w:t>
            </w:r>
          </w:p>
        </w:tc>
      </w:tr>
    </w:tbl>
    <w:p w:rsidR="00853651" w:rsidP="00853651" w:rsidRDefault="00853651" w14:paraId="424DAFAA" w14:textId="77777777">
      <w:pPr>
        <w:jc w:val="both"/>
      </w:pPr>
    </w:p>
    <w:p w:rsidRPr="00C14992" w:rsidR="005A2A7A" w:rsidP="005A2A7A" w:rsidRDefault="005A2A7A" w14:paraId="3958F25C" w14:textId="77777777">
      <w:pPr>
        <w:jc w:val="both"/>
      </w:pPr>
    </w:p>
    <w:p w:rsidR="00E952BE" w:rsidP="005A2A7A" w:rsidRDefault="00E952BE" w14:paraId="245698F4" w14:textId="77777777">
      <w:pPr>
        <w:jc w:val="both"/>
        <w:rPr>
          <w:i/>
        </w:rPr>
      </w:pPr>
    </w:p>
    <w:p w:rsidRPr="005B36E3" w:rsidR="00E952BE" w:rsidP="005A2A7A" w:rsidRDefault="00E952BE" w14:paraId="293680D7" w14:textId="77777777">
      <w:pPr>
        <w:jc w:val="both"/>
        <w:rPr>
          <w:i/>
        </w:rPr>
      </w:pPr>
    </w:p>
    <w:sectPr w:rsidRPr="005B36E3" w:rsidR="00E952BE">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775" w:rsidP="00E33B22" w:rsidRDefault="007E7775" w14:paraId="3730A4C1" w14:textId="77777777">
      <w:pPr>
        <w:spacing w:after="0" w:line="240" w:lineRule="auto"/>
      </w:pPr>
      <w:r>
        <w:separator/>
      </w:r>
    </w:p>
  </w:endnote>
  <w:endnote w:type="continuationSeparator" w:id="0">
    <w:p w:rsidR="007E7775" w:rsidP="00E33B22" w:rsidRDefault="007E7775" w14:paraId="434320F5" w14:textId="77777777">
      <w:pPr>
        <w:spacing w:after="0" w:line="240" w:lineRule="auto"/>
      </w:pPr>
      <w:r>
        <w:continuationSeparator/>
      </w:r>
    </w:p>
  </w:endnote>
  <w:endnote w:type="continuationNotice" w:id="1">
    <w:p w:rsidR="007E7775" w:rsidRDefault="007E7775" w14:paraId="1375BC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916785"/>
      <w:docPartObj>
        <w:docPartGallery w:val="Page Numbers (Bottom of Page)"/>
        <w:docPartUnique/>
      </w:docPartObj>
    </w:sdtPr>
    <w:sdtEndPr>
      <w:rPr>
        <w:noProof/>
      </w:rPr>
    </w:sdtEndPr>
    <w:sdtContent>
      <w:p w:rsidR="00266F48" w:rsidRDefault="00266F48" w14:paraId="3A73696A" w14:textId="78967A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05D73" w:rsidRDefault="00E05D73" w14:paraId="1B851A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775" w:rsidP="00E33B22" w:rsidRDefault="007E7775" w14:paraId="4E595E1C" w14:textId="77777777">
      <w:pPr>
        <w:spacing w:after="0" w:line="240" w:lineRule="auto"/>
      </w:pPr>
      <w:r>
        <w:separator/>
      </w:r>
    </w:p>
  </w:footnote>
  <w:footnote w:type="continuationSeparator" w:id="0">
    <w:p w:rsidR="007E7775" w:rsidP="00E33B22" w:rsidRDefault="007E7775" w14:paraId="16CB8375" w14:textId="77777777">
      <w:pPr>
        <w:spacing w:after="0" w:line="240" w:lineRule="auto"/>
      </w:pPr>
      <w:r>
        <w:continuationSeparator/>
      </w:r>
    </w:p>
  </w:footnote>
  <w:footnote w:type="continuationNotice" w:id="1">
    <w:p w:rsidR="007E7775" w:rsidRDefault="007E7775" w14:paraId="55736D3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67AF"/>
    <w:multiLevelType w:val="hybridMultilevel"/>
    <w:tmpl w:val="C4B4AA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3C7A5227"/>
    <w:multiLevelType w:val="hybridMultilevel"/>
    <w:tmpl w:val="05EA4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B4FE2"/>
    <w:multiLevelType w:val="hybridMultilevel"/>
    <w:tmpl w:val="984C43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4FF22ACE"/>
    <w:multiLevelType w:val="hybridMultilevel"/>
    <w:tmpl w:val="AA4C95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50226B3A"/>
    <w:multiLevelType w:val="hybridMultilevel"/>
    <w:tmpl w:val="B72E0B9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69203EF7"/>
    <w:multiLevelType w:val="multilevel"/>
    <w:tmpl w:val="B2063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46441139">
    <w:abstractNumId w:val="1"/>
  </w:num>
  <w:num w:numId="2" w16cid:durableId="947392244">
    <w:abstractNumId w:val="0"/>
  </w:num>
  <w:num w:numId="3" w16cid:durableId="1252616734">
    <w:abstractNumId w:val="4"/>
  </w:num>
  <w:num w:numId="4" w16cid:durableId="796753672">
    <w:abstractNumId w:val="2"/>
  </w:num>
  <w:num w:numId="5" w16cid:durableId="714239335">
    <w:abstractNumId w:val="3"/>
  </w:num>
  <w:num w:numId="6" w16cid:durableId="55686317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D"/>
    <w:rsid w:val="00020EDF"/>
    <w:rsid w:val="00024A05"/>
    <w:rsid w:val="00031B20"/>
    <w:rsid w:val="000450E9"/>
    <w:rsid w:val="00052669"/>
    <w:rsid w:val="00054E2F"/>
    <w:rsid w:val="000664C6"/>
    <w:rsid w:val="00072736"/>
    <w:rsid w:val="000825AF"/>
    <w:rsid w:val="00082F06"/>
    <w:rsid w:val="000878D9"/>
    <w:rsid w:val="000939AB"/>
    <w:rsid w:val="00094D30"/>
    <w:rsid w:val="000C5605"/>
    <w:rsid w:val="00111EE0"/>
    <w:rsid w:val="00113547"/>
    <w:rsid w:val="00121EBA"/>
    <w:rsid w:val="00133691"/>
    <w:rsid w:val="001344D3"/>
    <w:rsid w:val="001414E2"/>
    <w:rsid w:val="00150069"/>
    <w:rsid w:val="00160AA0"/>
    <w:rsid w:val="00165DE0"/>
    <w:rsid w:val="00167237"/>
    <w:rsid w:val="00183378"/>
    <w:rsid w:val="00191B4E"/>
    <w:rsid w:val="00196049"/>
    <w:rsid w:val="001B3AB1"/>
    <w:rsid w:val="001C10B2"/>
    <w:rsid w:val="001E11DD"/>
    <w:rsid w:val="001E31CA"/>
    <w:rsid w:val="001F74DD"/>
    <w:rsid w:val="001F770E"/>
    <w:rsid w:val="0020597B"/>
    <w:rsid w:val="00206C2F"/>
    <w:rsid w:val="00207028"/>
    <w:rsid w:val="002118B6"/>
    <w:rsid w:val="00220B6E"/>
    <w:rsid w:val="00232584"/>
    <w:rsid w:val="002336AD"/>
    <w:rsid w:val="00242B45"/>
    <w:rsid w:val="00244BB5"/>
    <w:rsid w:val="002458D8"/>
    <w:rsid w:val="00250DEA"/>
    <w:rsid w:val="00252187"/>
    <w:rsid w:val="00256524"/>
    <w:rsid w:val="00261927"/>
    <w:rsid w:val="00262C71"/>
    <w:rsid w:val="00266F48"/>
    <w:rsid w:val="00273F3B"/>
    <w:rsid w:val="00274BCA"/>
    <w:rsid w:val="00277394"/>
    <w:rsid w:val="00295258"/>
    <w:rsid w:val="00297331"/>
    <w:rsid w:val="002B3D1B"/>
    <w:rsid w:val="002C6C87"/>
    <w:rsid w:val="0030498D"/>
    <w:rsid w:val="0031494A"/>
    <w:rsid w:val="003264B2"/>
    <w:rsid w:val="00335060"/>
    <w:rsid w:val="0033778E"/>
    <w:rsid w:val="003470DC"/>
    <w:rsid w:val="00352ACE"/>
    <w:rsid w:val="003567FF"/>
    <w:rsid w:val="00380D53"/>
    <w:rsid w:val="00385ABD"/>
    <w:rsid w:val="00395AFB"/>
    <w:rsid w:val="003B52DB"/>
    <w:rsid w:val="003B5E39"/>
    <w:rsid w:val="0040491C"/>
    <w:rsid w:val="00411367"/>
    <w:rsid w:val="00413879"/>
    <w:rsid w:val="00421C03"/>
    <w:rsid w:val="00425CE0"/>
    <w:rsid w:val="00432784"/>
    <w:rsid w:val="00442BBE"/>
    <w:rsid w:val="00442F68"/>
    <w:rsid w:val="004453BD"/>
    <w:rsid w:val="00455383"/>
    <w:rsid w:val="00473CAF"/>
    <w:rsid w:val="00477E6B"/>
    <w:rsid w:val="004817BF"/>
    <w:rsid w:val="00487D1C"/>
    <w:rsid w:val="0049076E"/>
    <w:rsid w:val="00490C6F"/>
    <w:rsid w:val="00497A1A"/>
    <w:rsid w:val="004C534C"/>
    <w:rsid w:val="004D292C"/>
    <w:rsid w:val="004E3D24"/>
    <w:rsid w:val="004F2EFB"/>
    <w:rsid w:val="004F5C32"/>
    <w:rsid w:val="00506648"/>
    <w:rsid w:val="00551C7F"/>
    <w:rsid w:val="005533DA"/>
    <w:rsid w:val="00563972"/>
    <w:rsid w:val="00564B2F"/>
    <w:rsid w:val="00566BDC"/>
    <w:rsid w:val="00570656"/>
    <w:rsid w:val="00572507"/>
    <w:rsid w:val="005754AA"/>
    <w:rsid w:val="00575B23"/>
    <w:rsid w:val="00587EB0"/>
    <w:rsid w:val="005A0255"/>
    <w:rsid w:val="005A2A7A"/>
    <w:rsid w:val="005B36E3"/>
    <w:rsid w:val="005C709B"/>
    <w:rsid w:val="005F3DAF"/>
    <w:rsid w:val="0061077B"/>
    <w:rsid w:val="00627912"/>
    <w:rsid w:val="00627C4C"/>
    <w:rsid w:val="00633705"/>
    <w:rsid w:val="006424D2"/>
    <w:rsid w:val="0064493A"/>
    <w:rsid w:val="00644AD8"/>
    <w:rsid w:val="00660587"/>
    <w:rsid w:val="00671A70"/>
    <w:rsid w:val="006776F5"/>
    <w:rsid w:val="00677DB2"/>
    <w:rsid w:val="006935BF"/>
    <w:rsid w:val="006A3785"/>
    <w:rsid w:val="006A37A0"/>
    <w:rsid w:val="006A4700"/>
    <w:rsid w:val="006A4711"/>
    <w:rsid w:val="006B0EC2"/>
    <w:rsid w:val="006B7B7A"/>
    <w:rsid w:val="006D0039"/>
    <w:rsid w:val="006D360B"/>
    <w:rsid w:val="006E492A"/>
    <w:rsid w:val="006F1129"/>
    <w:rsid w:val="0070187E"/>
    <w:rsid w:val="00706596"/>
    <w:rsid w:val="007176EC"/>
    <w:rsid w:val="00753452"/>
    <w:rsid w:val="00756A8F"/>
    <w:rsid w:val="00771A8D"/>
    <w:rsid w:val="00772A23"/>
    <w:rsid w:val="00781B54"/>
    <w:rsid w:val="00782361"/>
    <w:rsid w:val="007938A0"/>
    <w:rsid w:val="007954D8"/>
    <w:rsid w:val="007A52F7"/>
    <w:rsid w:val="007A56EC"/>
    <w:rsid w:val="007B027C"/>
    <w:rsid w:val="007B397B"/>
    <w:rsid w:val="007B7C33"/>
    <w:rsid w:val="007C225D"/>
    <w:rsid w:val="007C3AB4"/>
    <w:rsid w:val="007D0F9E"/>
    <w:rsid w:val="007D323A"/>
    <w:rsid w:val="007E4940"/>
    <w:rsid w:val="007E7775"/>
    <w:rsid w:val="00816C89"/>
    <w:rsid w:val="00820252"/>
    <w:rsid w:val="008237D6"/>
    <w:rsid w:val="008273B4"/>
    <w:rsid w:val="00831F6B"/>
    <w:rsid w:val="00832BC1"/>
    <w:rsid w:val="00836469"/>
    <w:rsid w:val="00842AE6"/>
    <w:rsid w:val="00843222"/>
    <w:rsid w:val="00843486"/>
    <w:rsid w:val="00843D31"/>
    <w:rsid w:val="00844A0D"/>
    <w:rsid w:val="00845CCC"/>
    <w:rsid w:val="00853651"/>
    <w:rsid w:val="008644DC"/>
    <w:rsid w:val="0086535B"/>
    <w:rsid w:val="00876743"/>
    <w:rsid w:val="00891F2B"/>
    <w:rsid w:val="008960C9"/>
    <w:rsid w:val="00896174"/>
    <w:rsid w:val="008977EA"/>
    <w:rsid w:val="008C0E42"/>
    <w:rsid w:val="008E1368"/>
    <w:rsid w:val="008E5CB9"/>
    <w:rsid w:val="008F20C9"/>
    <w:rsid w:val="008F5745"/>
    <w:rsid w:val="008F6FEF"/>
    <w:rsid w:val="00906CBF"/>
    <w:rsid w:val="009073A3"/>
    <w:rsid w:val="00913918"/>
    <w:rsid w:val="00933092"/>
    <w:rsid w:val="0093407A"/>
    <w:rsid w:val="00936A84"/>
    <w:rsid w:val="00940B37"/>
    <w:rsid w:val="009474EE"/>
    <w:rsid w:val="00964662"/>
    <w:rsid w:val="00967D36"/>
    <w:rsid w:val="00976FBA"/>
    <w:rsid w:val="009A0545"/>
    <w:rsid w:val="009A05EA"/>
    <w:rsid w:val="009B1A1F"/>
    <w:rsid w:val="009B4DF0"/>
    <w:rsid w:val="009C457A"/>
    <w:rsid w:val="009D51EB"/>
    <w:rsid w:val="009E11DC"/>
    <w:rsid w:val="009F1754"/>
    <w:rsid w:val="00A001D2"/>
    <w:rsid w:val="00A025B9"/>
    <w:rsid w:val="00A122E8"/>
    <w:rsid w:val="00A17AC9"/>
    <w:rsid w:val="00A23822"/>
    <w:rsid w:val="00A24468"/>
    <w:rsid w:val="00A30538"/>
    <w:rsid w:val="00A3276F"/>
    <w:rsid w:val="00A37C15"/>
    <w:rsid w:val="00A527E2"/>
    <w:rsid w:val="00A642BB"/>
    <w:rsid w:val="00A6579B"/>
    <w:rsid w:val="00A71F07"/>
    <w:rsid w:val="00A7624F"/>
    <w:rsid w:val="00A77E09"/>
    <w:rsid w:val="00A905BB"/>
    <w:rsid w:val="00A936BC"/>
    <w:rsid w:val="00A96336"/>
    <w:rsid w:val="00AA03DA"/>
    <w:rsid w:val="00AA1A34"/>
    <w:rsid w:val="00AA2DB7"/>
    <w:rsid w:val="00AA53FC"/>
    <w:rsid w:val="00AA6CAD"/>
    <w:rsid w:val="00AB5B80"/>
    <w:rsid w:val="00AB720A"/>
    <w:rsid w:val="00AC4555"/>
    <w:rsid w:val="00AD46B1"/>
    <w:rsid w:val="00AE4B54"/>
    <w:rsid w:val="00AE5DCD"/>
    <w:rsid w:val="00AF07B7"/>
    <w:rsid w:val="00B043D2"/>
    <w:rsid w:val="00B10966"/>
    <w:rsid w:val="00B11CFA"/>
    <w:rsid w:val="00B24EC8"/>
    <w:rsid w:val="00B31DDB"/>
    <w:rsid w:val="00B32C28"/>
    <w:rsid w:val="00B33652"/>
    <w:rsid w:val="00B35238"/>
    <w:rsid w:val="00B44C20"/>
    <w:rsid w:val="00B4615F"/>
    <w:rsid w:val="00B50C44"/>
    <w:rsid w:val="00B54F2A"/>
    <w:rsid w:val="00B75A60"/>
    <w:rsid w:val="00B776DF"/>
    <w:rsid w:val="00B82D70"/>
    <w:rsid w:val="00B8500A"/>
    <w:rsid w:val="00B90194"/>
    <w:rsid w:val="00BA271C"/>
    <w:rsid w:val="00BC058B"/>
    <w:rsid w:val="00BD0DE0"/>
    <w:rsid w:val="00BD3A4B"/>
    <w:rsid w:val="00BD48F6"/>
    <w:rsid w:val="00BE48E2"/>
    <w:rsid w:val="00BE5DB3"/>
    <w:rsid w:val="00BF049D"/>
    <w:rsid w:val="00BF0BB4"/>
    <w:rsid w:val="00BF17B7"/>
    <w:rsid w:val="00BF1FEA"/>
    <w:rsid w:val="00C039D3"/>
    <w:rsid w:val="00C1140B"/>
    <w:rsid w:val="00C14992"/>
    <w:rsid w:val="00C213F6"/>
    <w:rsid w:val="00C21979"/>
    <w:rsid w:val="00C22A5D"/>
    <w:rsid w:val="00C246E7"/>
    <w:rsid w:val="00C26017"/>
    <w:rsid w:val="00C30686"/>
    <w:rsid w:val="00C32A0C"/>
    <w:rsid w:val="00C43EAB"/>
    <w:rsid w:val="00C55585"/>
    <w:rsid w:val="00C65483"/>
    <w:rsid w:val="00C67B19"/>
    <w:rsid w:val="00C73820"/>
    <w:rsid w:val="00C73BAA"/>
    <w:rsid w:val="00C866A5"/>
    <w:rsid w:val="00C957AD"/>
    <w:rsid w:val="00CA257C"/>
    <w:rsid w:val="00CC06ED"/>
    <w:rsid w:val="00CC1806"/>
    <w:rsid w:val="00CC5F9B"/>
    <w:rsid w:val="00CD6EEB"/>
    <w:rsid w:val="00CE1309"/>
    <w:rsid w:val="00CE28CA"/>
    <w:rsid w:val="00CF44B3"/>
    <w:rsid w:val="00D01DD1"/>
    <w:rsid w:val="00D05D6A"/>
    <w:rsid w:val="00D108E0"/>
    <w:rsid w:val="00D22B72"/>
    <w:rsid w:val="00D2331E"/>
    <w:rsid w:val="00D30F7F"/>
    <w:rsid w:val="00D43D54"/>
    <w:rsid w:val="00D55212"/>
    <w:rsid w:val="00D64BE3"/>
    <w:rsid w:val="00D72CFD"/>
    <w:rsid w:val="00D75ED0"/>
    <w:rsid w:val="00D764B0"/>
    <w:rsid w:val="00D76710"/>
    <w:rsid w:val="00D77C4B"/>
    <w:rsid w:val="00D87EC4"/>
    <w:rsid w:val="00D95A16"/>
    <w:rsid w:val="00DA742A"/>
    <w:rsid w:val="00DC1C53"/>
    <w:rsid w:val="00DC3C4E"/>
    <w:rsid w:val="00DC6DC2"/>
    <w:rsid w:val="00DC76CB"/>
    <w:rsid w:val="00DE0A69"/>
    <w:rsid w:val="00DF2CE5"/>
    <w:rsid w:val="00DF4418"/>
    <w:rsid w:val="00DF667E"/>
    <w:rsid w:val="00DF6D2F"/>
    <w:rsid w:val="00E05D73"/>
    <w:rsid w:val="00E16D14"/>
    <w:rsid w:val="00E20F2D"/>
    <w:rsid w:val="00E33B22"/>
    <w:rsid w:val="00E47F78"/>
    <w:rsid w:val="00E50076"/>
    <w:rsid w:val="00E50476"/>
    <w:rsid w:val="00E53E59"/>
    <w:rsid w:val="00E53F53"/>
    <w:rsid w:val="00E54675"/>
    <w:rsid w:val="00E7025F"/>
    <w:rsid w:val="00E764AF"/>
    <w:rsid w:val="00E80554"/>
    <w:rsid w:val="00E8300C"/>
    <w:rsid w:val="00E93AC2"/>
    <w:rsid w:val="00E952BE"/>
    <w:rsid w:val="00E95A0B"/>
    <w:rsid w:val="00EA02E5"/>
    <w:rsid w:val="00EA083B"/>
    <w:rsid w:val="00EA096C"/>
    <w:rsid w:val="00EA4025"/>
    <w:rsid w:val="00EA5926"/>
    <w:rsid w:val="00EC392C"/>
    <w:rsid w:val="00ED1E30"/>
    <w:rsid w:val="00EE36E1"/>
    <w:rsid w:val="00EE4CA5"/>
    <w:rsid w:val="00EF010B"/>
    <w:rsid w:val="00EF0261"/>
    <w:rsid w:val="00EF25D4"/>
    <w:rsid w:val="00EF4A37"/>
    <w:rsid w:val="00F201C4"/>
    <w:rsid w:val="00F23AAC"/>
    <w:rsid w:val="00F35BF2"/>
    <w:rsid w:val="00F66F1B"/>
    <w:rsid w:val="00F7360D"/>
    <w:rsid w:val="00FA2365"/>
    <w:rsid w:val="00FB2DE9"/>
    <w:rsid w:val="00FB6D18"/>
    <w:rsid w:val="00FB7B8E"/>
    <w:rsid w:val="00FC133D"/>
    <w:rsid w:val="00FC39CF"/>
    <w:rsid w:val="00FD76D3"/>
    <w:rsid w:val="00FD7956"/>
    <w:rsid w:val="00FE6C79"/>
    <w:rsid w:val="00FF2B78"/>
    <w:rsid w:val="00FF537D"/>
    <w:rsid w:val="01B7911E"/>
    <w:rsid w:val="029585B3"/>
    <w:rsid w:val="032BC36E"/>
    <w:rsid w:val="049AD666"/>
    <w:rsid w:val="05514C40"/>
    <w:rsid w:val="0632A492"/>
    <w:rsid w:val="0AB387EC"/>
    <w:rsid w:val="0BC77E30"/>
    <w:rsid w:val="0C61DD97"/>
    <w:rsid w:val="0D5C5E25"/>
    <w:rsid w:val="0DFBE790"/>
    <w:rsid w:val="0E2092E5"/>
    <w:rsid w:val="0EF5C3BE"/>
    <w:rsid w:val="10C57FCE"/>
    <w:rsid w:val="125E389D"/>
    <w:rsid w:val="13414D24"/>
    <w:rsid w:val="148CFA60"/>
    <w:rsid w:val="14CE7264"/>
    <w:rsid w:val="15288103"/>
    <w:rsid w:val="162E92B9"/>
    <w:rsid w:val="17B47461"/>
    <w:rsid w:val="1F474C07"/>
    <w:rsid w:val="1FD38E3C"/>
    <w:rsid w:val="208977DF"/>
    <w:rsid w:val="20A23626"/>
    <w:rsid w:val="20D58C9C"/>
    <w:rsid w:val="218425CF"/>
    <w:rsid w:val="21F74930"/>
    <w:rsid w:val="21FE51B0"/>
    <w:rsid w:val="23E02FDC"/>
    <w:rsid w:val="24B96926"/>
    <w:rsid w:val="24BCEC43"/>
    <w:rsid w:val="26553987"/>
    <w:rsid w:val="27F6599F"/>
    <w:rsid w:val="2B28AAAA"/>
    <w:rsid w:val="2C8880E7"/>
    <w:rsid w:val="2EDA5A76"/>
    <w:rsid w:val="2F186547"/>
    <w:rsid w:val="30DD74F9"/>
    <w:rsid w:val="3104EC86"/>
    <w:rsid w:val="31561CF3"/>
    <w:rsid w:val="3336E443"/>
    <w:rsid w:val="3378F975"/>
    <w:rsid w:val="37686E1B"/>
    <w:rsid w:val="3A2BB5BA"/>
    <w:rsid w:val="3A3DFE8F"/>
    <w:rsid w:val="3AE90E60"/>
    <w:rsid w:val="3C7F755A"/>
    <w:rsid w:val="3D2FD923"/>
    <w:rsid w:val="3DC68863"/>
    <w:rsid w:val="3DD2194E"/>
    <w:rsid w:val="41A1885A"/>
    <w:rsid w:val="433755F7"/>
    <w:rsid w:val="4396694B"/>
    <w:rsid w:val="455AD6BA"/>
    <w:rsid w:val="459C415B"/>
    <w:rsid w:val="4633EB99"/>
    <w:rsid w:val="46E81DA0"/>
    <w:rsid w:val="47D11D19"/>
    <w:rsid w:val="47E944DE"/>
    <w:rsid w:val="48443DDE"/>
    <w:rsid w:val="48FBAB3E"/>
    <w:rsid w:val="4A9DD493"/>
    <w:rsid w:val="4AFEF67B"/>
    <w:rsid w:val="4B3D5DFE"/>
    <w:rsid w:val="4FD42A5F"/>
    <w:rsid w:val="50C63A85"/>
    <w:rsid w:val="5283EA17"/>
    <w:rsid w:val="55669E2C"/>
    <w:rsid w:val="563B4C87"/>
    <w:rsid w:val="57201C36"/>
    <w:rsid w:val="5742C91C"/>
    <w:rsid w:val="57575B3A"/>
    <w:rsid w:val="583A704A"/>
    <w:rsid w:val="58DE997D"/>
    <w:rsid w:val="5900F8D8"/>
    <w:rsid w:val="59CA263B"/>
    <w:rsid w:val="5E452F7C"/>
    <w:rsid w:val="5F221875"/>
    <w:rsid w:val="5F4944C2"/>
    <w:rsid w:val="60169427"/>
    <w:rsid w:val="6047CB29"/>
    <w:rsid w:val="611935E2"/>
    <w:rsid w:val="61194536"/>
    <w:rsid w:val="632E0ECA"/>
    <w:rsid w:val="6443F6B2"/>
    <w:rsid w:val="654ED067"/>
    <w:rsid w:val="65E4D8B5"/>
    <w:rsid w:val="660DDB23"/>
    <w:rsid w:val="663B6E25"/>
    <w:rsid w:val="669A14FB"/>
    <w:rsid w:val="67B39B5A"/>
    <w:rsid w:val="6858819A"/>
    <w:rsid w:val="6975FD67"/>
    <w:rsid w:val="6C7DA312"/>
    <w:rsid w:val="712EAE99"/>
    <w:rsid w:val="71795844"/>
    <w:rsid w:val="7292C968"/>
    <w:rsid w:val="7530460C"/>
    <w:rsid w:val="767F0AF0"/>
    <w:rsid w:val="7A03B72F"/>
    <w:rsid w:val="7A36D1BD"/>
    <w:rsid w:val="7B751A4A"/>
    <w:rsid w:val="7BB0D688"/>
    <w:rsid w:val="7EB87223"/>
    <w:rsid w:val="7F8B51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E494"/>
  <w15:docId w15:val="{BA1AD866-EE68-4887-A28E-D29BE4399C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5B80"/>
  </w:style>
  <w:style w:type="paragraph" w:styleId="Heading1">
    <w:name w:val="heading 1"/>
    <w:basedOn w:val="Normal"/>
    <w:next w:val="Normal"/>
    <w:link w:val="Heading1Char"/>
    <w:uiPriority w:val="9"/>
    <w:qFormat/>
    <w:rsid w:val="00E5007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957AD"/>
    <w:pPr>
      <w:ind w:left="720"/>
      <w:contextualSpacing/>
    </w:pPr>
  </w:style>
  <w:style w:type="character" w:styleId="Heading1Char" w:customStyle="1">
    <w:name w:val="Heading 1 Char"/>
    <w:basedOn w:val="DefaultParagraphFont"/>
    <w:link w:val="Heading1"/>
    <w:uiPriority w:val="9"/>
    <w:rsid w:val="00E50076"/>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E33B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3B22"/>
  </w:style>
  <w:style w:type="paragraph" w:styleId="Footer">
    <w:name w:val="footer"/>
    <w:basedOn w:val="Normal"/>
    <w:link w:val="FooterChar"/>
    <w:uiPriority w:val="99"/>
    <w:unhideWhenUsed/>
    <w:rsid w:val="00E33B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3B22"/>
  </w:style>
  <w:style w:type="paragraph" w:styleId="BalloonText">
    <w:name w:val="Balloon Text"/>
    <w:basedOn w:val="Normal"/>
    <w:link w:val="BalloonTextChar"/>
    <w:uiPriority w:val="99"/>
    <w:semiHidden/>
    <w:unhideWhenUsed/>
    <w:rsid w:val="004F2E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2EFB"/>
    <w:rPr>
      <w:rFonts w:ascii="Segoe UI" w:hAnsi="Segoe UI" w:cs="Segoe UI"/>
      <w:sz w:val="18"/>
      <w:szCs w:val="18"/>
    </w:rPr>
  </w:style>
  <w:style w:type="table" w:styleId="TableGrid">
    <w:name w:val="Table Grid"/>
    <w:basedOn w:val="TableNormal"/>
    <w:uiPriority w:val="39"/>
    <w:rsid w:val="00E05D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264B2"/>
    <w:rPr>
      <w:sz w:val="16"/>
      <w:szCs w:val="16"/>
    </w:rPr>
  </w:style>
  <w:style w:type="paragraph" w:styleId="CommentText">
    <w:name w:val="annotation text"/>
    <w:basedOn w:val="Normal"/>
    <w:link w:val="CommentTextChar"/>
    <w:uiPriority w:val="99"/>
    <w:unhideWhenUsed/>
    <w:rsid w:val="003264B2"/>
    <w:pPr>
      <w:spacing w:line="240" w:lineRule="auto"/>
    </w:pPr>
    <w:rPr>
      <w:sz w:val="20"/>
      <w:szCs w:val="20"/>
    </w:rPr>
  </w:style>
  <w:style w:type="character" w:styleId="CommentTextChar" w:customStyle="1">
    <w:name w:val="Comment Text Char"/>
    <w:basedOn w:val="DefaultParagraphFont"/>
    <w:link w:val="CommentText"/>
    <w:uiPriority w:val="99"/>
    <w:rsid w:val="003264B2"/>
    <w:rPr>
      <w:sz w:val="20"/>
      <w:szCs w:val="20"/>
    </w:rPr>
  </w:style>
  <w:style w:type="paragraph" w:styleId="CommentSubject">
    <w:name w:val="annotation subject"/>
    <w:basedOn w:val="CommentText"/>
    <w:next w:val="CommentText"/>
    <w:link w:val="CommentSubjectChar"/>
    <w:uiPriority w:val="99"/>
    <w:semiHidden/>
    <w:unhideWhenUsed/>
    <w:rsid w:val="003264B2"/>
    <w:rPr>
      <w:b/>
      <w:bCs/>
    </w:rPr>
  </w:style>
  <w:style w:type="character" w:styleId="CommentSubjectChar" w:customStyle="1">
    <w:name w:val="Comment Subject Char"/>
    <w:basedOn w:val="CommentTextChar"/>
    <w:link w:val="CommentSubject"/>
    <w:uiPriority w:val="99"/>
    <w:semiHidden/>
    <w:rsid w:val="003264B2"/>
    <w:rPr>
      <w:b/>
      <w:bCs/>
      <w:sz w:val="20"/>
      <w:szCs w:val="20"/>
    </w:rPr>
  </w:style>
  <w:style w:type="character" w:styleId="cf01" w:customStyle="1">
    <w:name w:val="cf01"/>
    <w:basedOn w:val="DefaultParagraphFont"/>
    <w:rsid w:val="002B3D1B"/>
    <w:rPr>
      <w:rFonts w:hint="default" w:ascii="Segoe UI" w:hAnsi="Segoe UI" w:cs="Segoe UI"/>
      <w:sz w:val="18"/>
      <w:szCs w:val="18"/>
    </w:rPr>
  </w:style>
  <w:style w:type="paragraph" w:styleId="Revision">
    <w:name w:val="Revision"/>
    <w:hidden/>
    <w:uiPriority w:val="99"/>
    <w:semiHidden/>
    <w:rsid w:val="00295258"/>
    <w:pPr>
      <w:spacing w:after="0" w:line="240" w:lineRule="auto"/>
    </w:pPr>
  </w:style>
  <w:style w:type="character" w:styleId="Mention">
    <w:name w:val="Mention"/>
    <w:basedOn w:val="DefaultParagraphFont"/>
    <w:uiPriority w:val="99"/>
    <w:unhideWhenUsed/>
    <w:rsid w:val="006A4700"/>
    <w:rPr>
      <w:color w:val="2B579A"/>
      <w:shd w:val="clear" w:color="auto" w:fill="E6E6E6"/>
    </w:rPr>
  </w:style>
  <w:style w:type="character" w:styleId="Hyperlink">
    <w:name w:val="Hyperlink"/>
    <w:basedOn w:val="DefaultParagraphFont"/>
    <w:uiPriority w:val="99"/>
    <w:unhideWhenUsed/>
    <w:rsid w:val="005533DA"/>
    <w:rPr>
      <w:color w:val="0563C1" w:themeColor="hyperlink"/>
      <w:u w:val="single"/>
    </w:rPr>
  </w:style>
  <w:style w:type="character" w:styleId="UnresolvedMention">
    <w:name w:val="Unresolved Mention"/>
    <w:basedOn w:val="DefaultParagraphFont"/>
    <w:uiPriority w:val="99"/>
    <w:semiHidden/>
    <w:unhideWhenUsed/>
    <w:rsid w:val="0055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e5386b43301047fe"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1f2b3aa-7c04-41ee-952d-08ca0d25bc0f}"/>
      </w:docPartPr>
      <w:docPartBody>
        <w:p xmlns:wp14="http://schemas.microsoft.com/office/word/2010/wordml" w14:paraId="58170C6C"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73ACFB0F57A4F9FD130E9C10A3789" ma:contentTypeVersion="12" ma:contentTypeDescription="Create a new document." ma:contentTypeScope="" ma:versionID="e1290164d762624dc5efd9ace3bc290d">
  <xsd:schema xmlns:xsd="http://www.w3.org/2001/XMLSchema" xmlns:xs="http://www.w3.org/2001/XMLSchema" xmlns:p="http://schemas.microsoft.com/office/2006/metadata/properties" xmlns:ns2="8c42306a-06d1-4536-a14b-024fe427e5a4" xmlns:ns3="8a1c08b5-47e4-4f6b-b38e-6f465d322e39" targetNamespace="http://schemas.microsoft.com/office/2006/metadata/properties" ma:root="true" ma:fieldsID="39759a4db86f92bae3d3d1b4bb55446f" ns2:_="" ns3:_="">
    <xsd:import namespace="8c42306a-06d1-4536-a14b-024fe427e5a4"/>
    <xsd:import namespace="8a1c08b5-47e4-4f6b-b38e-6f465d322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306a-06d1-4536-a14b-024fe427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c08b5-47e4-4f6b-b38e-6f465d322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c13c1f-0df8-4a07-a52e-0d8437e9e1ab}" ma:internalName="TaxCatchAll" ma:showField="CatchAllData" ma:web="8a1c08b5-47e4-4f6b-b38e-6f465d322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1c08b5-47e4-4f6b-b38e-6f465d322e39" xsi:nil="true"/>
    <lcf76f155ced4ddcb4097134ff3c332f xmlns="8c42306a-06d1-4536-a14b-024fe427e5a4">
      <Terms xmlns="http://schemas.microsoft.com/office/infopath/2007/PartnerControls"/>
    </lcf76f155ced4ddcb4097134ff3c332f>
    <SharedWithUsers xmlns="8a1c08b5-47e4-4f6b-b38e-6f465d322e39">
      <UserInfo>
        <DisplayName>Mike Pursehouse</DisplayName>
        <AccountId>20</AccountId>
        <AccountType/>
      </UserInfo>
    </SharedWithUsers>
  </documentManagement>
</p:properties>
</file>

<file path=customXml/itemProps1.xml><?xml version="1.0" encoding="utf-8"?>
<ds:datastoreItem xmlns:ds="http://schemas.openxmlformats.org/officeDocument/2006/customXml" ds:itemID="{8B47DC03-3FDA-4B73-B72E-FE2AEF6045DF}">
  <ds:schemaRefs>
    <ds:schemaRef ds:uri="http://schemas.microsoft.com/sharepoint/v3/contenttype/forms"/>
  </ds:schemaRefs>
</ds:datastoreItem>
</file>

<file path=customXml/itemProps2.xml><?xml version="1.0" encoding="utf-8"?>
<ds:datastoreItem xmlns:ds="http://schemas.openxmlformats.org/officeDocument/2006/customXml" ds:itemID="{90C6EA9C-06F5-464B-AC79-ACE8CA86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306a-06d1-4536-a14b-024fe427e5a4"/>
    <ds:schemaRef ds:uri="8a1c08b5-47e4-4f6b-b38e-6f465d32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7EC43-2EC3-4AAE-ACA1-27C0F867AA29}">
  <ds:schemaRefs>
    <ds:schemaRef ds:uri="http://schemas.openxmlformats.org/officeDocument/2006/bibliography"/>
  </ds:schemaRefs>
</ds:datastoreItem>
</file>

<file path=customXml/itemProps4.xml><?xml version="1.0" encoding="utf-8"?>
<ds:datastoreItem xmlns:ds="http://schemas.openxmlformats.org/officeDocument/2006/customXml" ds:itemID="{620E00B5-2FFB-4686-9525-53EC30C09C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a1c08b5-47e4-4f6b-b38e-6f465d322e39"/>
    <ds:schemaRef ds:uri="http://purl.org/dc/terms/"/>
    <ds:schemaRef ds:uri="http://schemas.openxmlformats.org/package/2006/metadata/core-properties"/>
    <ds:schemaRef ds:uri="8c42306a-06d1-4536-a14b-024fe427e5a4"/>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SNC_Equality_Objectives_2024___2028</dc:title>
  <dc:subject>
  </dc:subject>
  <dc:creator>Emma Pheby</dc:creator>
  <keywords>
  </keywords>
  <lastModifiedBy>snab-importer</lastModifiedBy>
  <revision>143</revision>
  <lastPrinted>2019-05-21T05:00:00.0000000Z</lastPrinted>
  <dcterms:created xsi:type="dcterms:W3CDTF">2024-01-09T05:16:00.0000000Z</dcterms:created>
  <dcterms:modified xsi:type="dcterms:W3CDTF">2024-08-02T09:44:26Z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0x01010022073ACFB0F57A4F9FD130E9C10A3789</vt:lpwstr>
  </property>
  <property fmtid="{D5CDD505-2E9C-101B-9397-08002B2CF9AE}" pid="3" name="MediaServiceImageTags">
    <vt:lpwstr/>
  </property>
</Properties>
</file>