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027B6" w:rsidP="00C027B6" w:rsidRDefault="00C027B6" w14:paraId="20B2D1F5" w14:textId="77777777">
      <w:pPr>
        <w:spacing w:after="0" w:line="240" w:lineRule="auto"/>
        <w:ind w:left="720" w:hanging="720"/>
        <w:contextualSpacing/>
        <w:outlineLvl w:val="1"/>
        <w:rPr>
          <w:rFonts w:ascii="Arial" w:hAnsi="Arial" w:eastAsia="Times New Roman" w:cs="Arial"/>
          <w:b/>
          <w:sz w:val="32"/>
          <w:szCs w:val="32"/>
          <w:lang w:eastAsia="en-GB"/>
        </w:rPr>
      </w:pPr>
      <w:r>
        <w:rPr>
          <w:rFonts w:ascii="Arial" w:hAnsi="Arial" w:eastAsia="Times New Roman" w:cs="Arial"/>
          <w:b/>
          <w:noProof/>
          <w:sz w:val="32"/>
          <w:szCs w:val="32"/>
          <w:lang w:eastAsia="en-GB"/>
        </w:rPr>
        <w:drawing>
          <wp:inline distT="0" distB="0" distL="0" distR="0" wp14:anchorId="7A64E075" wp14:editId="56AC3853">
            <wp:extent cx="2268187" cy="627391"/>
            <wp:effectExtent l="0" t="0" r="0" b="127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89626" cy="633321"/>
                    </a:xfrm>
                    <a:prstGeom prst="rect">
                      <a:avLst/>
                    </a:prstGeom>
                    <a:noFill/>
                    <a:ln>
                      <a:noFill/>
                    </a:ln>
                  </pic:spPr>
                </pic:pic>
              </a:graphicData>
            </a:graphic>
          </wp:inline>
        </w:drawing>
      </w:r>
    </w:p>
    <w:p w:rsidRPr="00C027B6" w:rsidR="00C027B6" w:rsidP="00C027B6" w:rsidRDefault="00C027B6" w14:paraId="072D6B7D" w14:textId="77777777">
      <w:pPr>
        <w:spacing w:after="0" w:line="240" w:lineRule="auto"/>
        <w:ind w:left="720" w:hanging="720"/>
        <w:contextualSpacing/>
        <w:outlineLvl w:val="1"/>
        <w:rPr>
          <w:rFonts w:ascii="Arial" w:hAnsi="Arial" w:eastAsia="Times New Roman" w:cs="Arial"/>
          <w:b/>
          <w:sz w:val="24"/>
          <w:szCs w:val="24"/>
          <w:lang w:eastAsia="en-GB"/>
        </w:rPr>
      </w:pPr>
    </w:p>
    <w:p w:rsidRPr="00C36A42" w:rsidR="00C027B6" w:rsidP="00C027B6" w:rsidRDefault="00C027B6" w14:paraId="748158D3" w14:textId="26D01467">
      <w:pPr>
        <w:spacing w:after="0" w:line="240" w:lineRule="auto"/>
        <w:contextualSpacing/>
        <w:outlineLvl w:val="1"/>
        <w:rPr>
          <w:rFonts w:ascii="Arial" w:hAnsi="Arial" w:eastAsia="Times New Roman" w:cs="Arial"/>
          <w:b/>
          <w:sz w:val="24"/>
          <w:szCs w:val="24"/>
          <w:lang w:eastAsia="en-GB"/>
        </w:rPr>
      </w:pPr>
      <w:r w:rsidRPr="00C36A42">
        <w:rPr>
          <w:rFonts w:ascii="Arial" w:hAnsi="Arial" w:eastAsia="Times New Roman" w:cs="Arial"/>
          <w:b/>
          <w:sz w:val="24"/>
          <w:szCs w:val="24"/>
          <w:lang w:eastAsia="en-GB"/>
        </w:rPr>
        <w:t xml:space="preserve">South Norfolk </w:t>
      </w:r>
      <w:r w:rsidR="00C36A42">
        <w:rPr>
          <w:rFonts w:ascii="Arial" w:hAnsi="Arial" w:eastAsia="Times New Roman" w:cs="Arial"/>
          <w:b/>
          <w:sz w:val="24"/>
          <w:szCs w:val="24"/>
          <w:lang w:eastAsia="en-GB"/>
        </w:rPr>
        <w:t xml:space="preserve">Council </w:t>
      </w:r>
      <w:r w:rsidRPr="00C36A42">
        <w:rPr>
          <w:rFonts w:ascii="Arial" w:hAnsi="Arial" w:eastAsia="Times New Roman" w:cs="Arial"/>
          <w:b/>
          <w:sz w:val="24"/>
          <w:szCs w:val="24"/>
          <w:lang w:eastAsia="en-GB"/>
        </w:rPr>
        <w:t xml:space="preserve">Community Infrastructure Levy (CIL) </w:t>
      </w:r>
      <w:r w:rsidRPr="00C36A42" w:rsidR="00E04D1D">
        <w:rPr>
          <w:rFonts w:ascii="Arial" w:hAnsi="Arial" w:eastAsia="Times New Roman" w:cs="Arial"/>
          <w:b/>
          <w:sz w:val="24"/>
          <w:szCs w:val="24"/>
          <w:lang w:eastAsia="en-GB"/>
        </w:rPr>
        <w:t xml:space="preserve">Annual Infrastructure Funding statement </w:t>
      </w:r>
      <w:r w:rsidRPr="00C36A42">
        <w:rPr>
          <w:rFonts w:ascii="Arial" w:hAnsi="Arial" w:eastAsia="Times New Roman" w:cs="Arial"/>
          <w:b/>
          <w:sz w:val="24"/>
          <w:szCs w:val="24"/>
          <w:lang w:eastAsia="en-GB"/>
        </w:rPr>
        <w:t>for 1</w:t>
      </w:r>
      <w:r w:rsidRPr="00C36A42">
        <w:rPr>
          <w:rFonts w:ascii="Arial" w:hAnsi="Arial" w:eastAsia="Times New Roman" w:cs="Arial"/>
          <w:b/>
          <w:sz w:val="24"/>
          <w:szCs w:val="24"/>
          <w:vertAlign w:val="superscript"/>
          <w:lang w:eastAsia="en-GB"/>
        </w:rPr>
        <w:t>st</w:t>
      </w:r>
      <w:r w:rsidRPr="00C36A42">
        <w:rPr>
          <w:rFonts w:ascii="Arial" w:hAnsi="Arial" w:eastAsia="Times New Roman" w:cs="Arial"/>
          <w:b/>
          <w:sz w:val="24"/>
          <w:szCs w:val="24"/>
          <w:lang w:eastAsia="en-GB"/>
        </w:rPr>
        <w:t xml:space="preserve"> April 201</w:t>
      </w:r>
      <w:r w:rsidRPr="00C36A42" w:rsidR="00E04D1D">
        <w:rPr>
          <w:rFonts w:ascii="Arial" w:hAnsi="Arial" w:eastAsia="Times New Roman" w:cs="Arial"/>
          <w:b/>
          <w:sz w:val="24"/>
          <w:szCs w:val="24"/>
          <w:lang w:eastAsia="en-GB"/>
        </w:rPr>
        <w:t>9</w:t>
      </w:r>
      <w:r w:rsidRPr="00C36A42">
        <w:rPr>
          <w:rFonts w:ascii="Arial" w:hAnsi="Arial" w:eastAsia="Times New Roman" w:cs="Arial"/>
          <w:b/>
          <w:sz w:val="24"/>
          <w:szCs w:val="24"/>
          <w:lang w:eastAsia="en-GB"/>
        </w:rPr>
        <w:t xml:space="preserve"> to 31</w:t>
      </w:r>
      <w:r w:rsidRPr="00C36A42">
        <w:rPr>
          <w:rFonts w:ascii="Arial" w:hAnsi="Arial" w:eastAsia="Times New Roman" w:cs="Arial"/>
          <w:b/>
          <w:sz w:val="24"/>
          <w:szCs w:val="24"/>
          <w:vertAlign w:val="superscript"/>
          <w:lang w:eastAsia="en-GB"/>
        </w:rPr>
        <w:t>st</w:t>
      </w:r>
      <w:r w:rsidRPr="00C36A42">
        <w:rPr>
          <w:rFonts w:ascii="Arial" w:hAnsi="Arial" w:eastAsia="Times New Roman" w:cs="Arial"/>
          <w:b/>
          <w:sz w:val="24"/>
          <w:szCs w:val="24"/>
          <w:lang w:eastAsia="en-GB"/>
        </w:rPr>
        <w:t xml:space="preserve"> March 20</w:t>
      </w:r>
      <w:r w:rsidRPr="00C36A42" w:rsidR="00E04D1D">
        <w:rPr>
          <w:rFonts w:ascii="Arial" w:hAnsi="Arial" w:eastAsia="Times New Roman" w:cs="Arial"/>
          <w:b/>
          <w:sz w:val="24"/>
          <w:szCs w:val="24"/>
          <w:lang w:eastAsia="en-GB"/>
        </w:rPr>
        <w:t>20</w:t>
      </w:r>
    </w:p>
    <w:p w:rsidRPr="00C36A42" w:rsidR="00C027B6" w:rsidP="00C027B6" w:rsidRDefault="00C027B6" w14:paraId="21397C42" w14:textId="77777777">
      <w:pPr>
        <w:spacing w:after="0" w:line="240" w:lineRule="auto"/>
        <w:rPr>
          <w:rFonts w:ascii="Arial" w:hAnsi="Arial" w:eastAsia="Times New Roman" w:cs="Arial"/>
          <w:sz w:val="24"/>
          <w:szCs w:val="24"/>
          <w:lang w:eastAsia="en-GB"/>
        </w:rPr>
      </w:pPr>
    </w:p>
    <w:p w:rsidRPr="00C36A42" w:rsidR="00C027B6" w:rsidP="00C027B6" w:rsidRDefault="00E04D1D" w14:paraId="3560AF24" w14:textId="5C028E74">
      <w:pPr>
        <w:spacing w:after="0" w:line="240" w:lineRule="auto"/>
        <w:rPr>
          <w:rFonts w:ascii="Arial" w:hAnsi="Arial" w:eastAsia="Times New Roman" w:cs="Arial"/>
          <w:sz w:val="24"/>
          <w:szCs w:val="24"/>
          <w:lang w:eastAsia="en-GB"/>
        </w:rPr>
      </w:pPr>
      <w:r w:rsidRPr="00C36A42">
        <w:rPr>
          <w:rFonts w:ascii="Arial" w:hAnsi="Arial" w:eastAsia="Times New Roman" w:cs="Arial"/>
          <w:sz w:val="24"/>
          <w:szCs w:val="24"/>
          <w:lang w:eastAsia="en-GB"/>
        </w:rPr>
        <w:t xml:space="preserve">Regulation 121A, paragraph 1 (b) </w:t>
      </w:r>
      <w:r w:rsidRPr="00C36A42" w:rsidR="002426DF">
        <w:rPr>
          <w:rFonts w:ascii="Arial" w:hAnsi="Arial" w:eastAsia="Times New Roman" w:cs="Arial"/>
          <w:sz w:val="24"/>
          <w:szCs w:val="24"/>
          <w:lang w:eastAsia="en-GB"/>
        </w:rPr>
        <w:t>of</w:t>
      </w:r>
      <w:r w:rsidRPr="00C36A42" w:rsidR="00C027B6">
        <w:rPr>
          <w:rFonts w:ascii="Arial" w:hAnsi="Arial" w:eastAsia="Times New Roman" w:cs="Arial"/>
          <w:sz w:val="24"/>
          <w:szCs w:val="24"/>
          <w:lang w:eastAsia="en-GB"/>
        </w:rPr>
        <w:t xml:space="preserve"> The Community Infrastructure </w:t>
      </w:r>
      <w:r w:rsidRPr="00C36A42">
        <w:rPr>
          <w:rFonts w:ascii="Arial" w:hAnsi="Arial" w:eastAsia="Times New Roman" w:cs="Arial"/>
          <w:sz w:val="24"/>
          <w:szCs w:val="24"/>
          <w:lang w:eastAsia="en-GB"/>
        </w:rPr>
        <w:t xml:space="preserve">Levy </w:t>
      </w:r>
      <w:r w:rsidRPr="00C36A42" w:rsidR="00C027B6">
        <w:rPr>
          <w:rFonts w:ascii="Arial" w:hAnsi="Arial" w:eastAsia="Times New Roman" w:cs="Arial"/>
          <w:sz w:val="24"/>
          <w:szCs w:val="24"/>
          <w:lang w:eastAsia="en-GB"/>
        </w:rPr>
        <w:t>Regulations 2010 (as amended) requires a “c</w:t>
      </w:r>
      <w:r w:rsidRPr="00C36A42">
        <w:rPr>
          <w:rFonts w:ascii="Arial" w:hAnsi="Arial" w:eastAsia="Times New Roman" w:cs="Arial"/>
          <w:sz w:val="24"/>
          <w:szCs w:val="24"/>
          <w:lang w:eastAsia="en-GB"/>
        </w:rPr>
        <w:t>ontribution receiving authority</w:t>
      </w:r>
      <w:r w:rsidRPr="00C36A42" w:rsidR="00C027B6">
        <w:rPr>
          <w:rFonts w:ascii="Arial" w:hAnsi="Arial" w:eastAsia="Times New Roman" w:cs="Arial"/>
          <w:sz w:val="24"/>
          <w:szCs w:val="24"/>
          <w:lang w:eastAsia="en-GB"/>
        </w:rPr>
        <w:t>” (South Norfolk) to prepare a report</w:t>
      </w:r>
      <w:r w:rsidRPr="00C36A42" w:rsidR="00354AD0">
        <w:rPr>
          <w:rFonts w:ascii="Arial" w:hAnsi="Arial" w:eastAsia="Times New Roman" w:cs="Arial"/>
          <w:sz w:val="24"/>
          <w:szCs w:val="24"/>
          <w:lang w:eastAsia="en-GB"/>
        </w:rPr>
        <w:t xml:space="preserve"> </w:t>
      </w:r>
      <w:r w:rsidRPr="00C36A42">
        <w:rPr>
          <w:rFonts w:ascii="Arial" w:hAnsi="Arial" w:eastAsia="Times New Roman" w:cs="Arial"/>
          <w:sz w:val="24"/>
          <w:szCs w:val="24"/>
          <w:lang w:eastAsia="en-GB"/>
        </w:rPr>
        <w:t xml:space="preserve">in relation to the previous financial year which includes the matters specified in </w:t>
      </w:r>
      <w:r w:rsidRPr="00C36A42" w:rsidR="00354AD0">
        <w:rPr>
          <w:rFonts w:ascii="Arial" w:hAnsi="Arial" w:eastAsia="Times New Roman" w:cs="Arial"/>
          <w:sz w:val="24"/>
          <w:szCs w:val="24"/>
          <w:lang w:eastAsia="en-GB"/>
        </w:rPr>
        <w:t>paragraph 1 of Schedule 2. A contribution receiving authority is defined as a</w:t>
      </w:r>
      <w:r w:rsidRPr="00C36A42" w:rsidR="00C027B6">
        <w:rPr>
          <w:rFonts w:ascii="Arial" w:hAnsi="Arial" w:eastAsia="Times New Roman" w:cs="Arial"/>
          <w:sz w:val="24"/>
          <w:szCs w:val="24"/>
          <w:lang w:eastAsia="en-GB"/>
        </w:rPr>
        <w:t xml:space="preserve">ny </w:t>
      </w:r>
      <w:r w:rsidRPr="00C36A42">
        <w:rPr>
          <w:rFonts w:ascii="Arial" w:hAnsi="Arial" w:eastAsia="Times New Roman" w:cs="Arial"/>
          <w:sz w:val="24"/>
          <w:szCs w:val="24"/>
          <w:lang w:eastAsia="en-GB"/>
        </w:rPr>
        <w:t>charging authority which issues a liability notice during the reported year</w:t>
      </w:r>
      <w:r w:rsidRPr="00C36A42" w:rsidR="00C027B6">
        <w:rPr>
          <w:rFonts w:ascii="Arial" w:hAnsi="Arial" w:eastAsia="Times New Roman" w:cs="Arial"/>
          <w:sz w:val="24"/>
          <w:szCs w:val="24"/>
          <w:lang w:eastAsia="en-GB"/>
        </w:rPr>
        <w:t>.</w:t>
      </w:r>
    </w:p>
    <w:p w:rsidRPr="00C36A42" w:rsidR="00C36A42" w:rsidP="00C027B6" w:rsidRDefault="00C36A42" w14:paraId="743B8659" w14:textId="77777777">
      <w:pPr>
        <w:spacing w:after="0" w:line="240" w:lineRule="auto"/>
        <w:rPr>
          <w:rFonts w:ascii="Arial" w:hAnsi="Arial" w:eastAsia="Times New Roman" w:cs="Arial"/>
          <w:b/>
          <w:sz w:val="24"/>
          <w:szCs w:val="24"/>
          <w:lang w:eastAsia="en-GB"/>
        </w:rPr>
      </w:pPr>
    </w:p>
    <w:p w:rsidRPr="00C36A42" w:rsidR="00C36A42" w:rsidP="00C36A42" w:rsidRDefault="00C36A42" w14:paraId="19D82C58" w14:textId="211C9CF3">
      <w:pPr>
        <w:pStyle w:val="Default"/>
      </w:pPr>
      <w:r w:rsidRPr="00C36A42">
        <w:t xml:space="preserve">The Greater Norwich authorities of Broadland District Council (CIL adopted in 2013), Norwich City Council (CIL adopted in 2013) and South Norfolk Council (CIL adopted in 2014), work together with Norfolk County Council to produce a joint local plan (currently under review). CIL contributions from the three collecting authorities (after deductions are taken for neighbourhood CIL and administration) is pooled into the Infrastructure Investment Fund. The fund is reallocated by the Greater Norwich Growth Board (GNGB) to infrastructure projects based on their strategic need. This partnership approach proactively addresses issues that often arise when working within a single authority boundary, instead the pooled CIL is reallocated to the wider Greater Norwich area. </w:t>
      </w:r>
    </w:p>
    <w:p w:rsidRPr="00C36A42" w:rsidR="00C36A42" w:rsidP="00C36A42" w:rsidRDefault="00C36A42" w14:paraId="61BDD7C3" w14:textId="77777777">
      <w:pPr>
        <w:pStyle w:val="Default"/>
      </w:pPr>
    </w:p>
    <w:p w:rsidRPr="00C36A42" w:rsidR="00C36A42" w:rsidP="00C36A42" w:rsidRDefault="00C36A42" w14:paraId="7651FA51" w14:textId="77777777">
      <w:pPr>
        <w:spacing w:after="0" w:line="240" w:lineRule="auto"/>
        <w:rPr>
          <w:rFonts w:ascii="Arial" w:hAnsi="Arial" w:cs="Arial"/>
          <w:sz w:val="24"/>
          <w:szCs w:val="24"/>
        </w:rPr>
      </w:pPr>
      <w:r w:rsidRPr="00C36A42">
        <w:rPr>
          <w:rFonts w:ascii="Arial" w:hAnsi="Arial" w:cs="Arial"/>
          <w:sz w:val="24"/>
          <w:szCs w:val="24"/>
        </w:rPr>
        <w:t xml:space="preserve">The GNGB report their CIL income and allocations within each AMR </w:t>
      </w:r>
      <w:hyperlink w:history="1" r:id="rId6">
        <w:r w:rsidRPr="00C36A42">
          <w:rPr>
            <w:rStyle w:val="Hyperlink"/>
            <w:rFonts w:ascii="Arial" w:hAnsi="Arial" w:cs="Arial"/>
            <w:sz w:val="24"/>
            <w:szCs w:val="24"/>
          </w:rPr>
          <w:t>here</w:t>
        </w:r>
      </w:hyperlink>
      <w:r w:rsidRPr="00C36A42">
        <w:rPr>
          <w:rFonts w:ascii="Arial" w:hAnsi="Arial" w:cs="Arial"/>
          <w:sz w:val="24"/>
          <w:szCs w:val="24"/>
        </w:rPr>
        <w:t xml:space="preserve">, in addition they prepare an annual Joint Five-Year Infrastructure Investment Plan which can be accessed </w:t>
      </w:r>
      <w:hyperlink w:history="1" w:anchor="Investmentplan" r:id="rId7">
        <w:r w:rsidRPr="00C36A42">
          <w:rPr>
            <w:rStyle w:val="Hyperlink"/>
            <w:rFonts w:ascii="Arial" w:hAnsi="Arial" w:cs="Arial"/>
            <w:sz w:val="24"/>
            <w:szCs w:val="24"/>
          </w:rPr>
          <w:t>here</w:t>
        </w:r>
      </w:hyperlink>
      <w:r w:rsidRPr="00C36A42">
        <w:rPr>
          <w:rFonts w:ascii="Arial" w:hAnsi="Arial" w:cs="Arial"/>
          <w:sz w:val="24"/>
          <w:szCs w:val="24"/>
        </w:rPr>
        <w:t xml:space="preserve">. This Plan confirms the funding priorities for Education, Green Infrastructure, Transport and Communities (which includes Sports facilities) within the Greater Norwich area. </w:t>
      </w:r>
    </w:p>
    <w:p w:rsidR="00C36A42" w:rsidP="00C36A42" w:rsidRDefault="00C36A42" w14:paraId="0B39CBF7" w14:textId="43528A4A">
      <w:pPr>
        <w:spacing w:after="0" w:line="240" w:lineRule="auto"/>
        <w:rPr>
          <w:sz w:val="23"/>
          <w:szCs w:val="23"/>
        </w:rPr>
      </w:pPr>
    </w:p>
    <w:p w:rsidR="00C36A42" w:rsidP="00C36A42" w:rsidRDefault="00C36A42" w14:paraId="508FFE44" w14:textId="3F1A582F">
      <w:pPr>
        <w:spacing w:after="0" w:line="240" w:lineRule="auto"/>
        <w:rPr>
          <w:sz w:val="23"/>
          <w:szCs w:val="23"/>
        </w:rPr>
      </w:pPr>
    </w:p>
    <w:p w:rsidR="00C36A42" w:rsidP="00C36A42" w:rsidRDefault="00C36A42" w14:paraId="70B5E8F9" w14:textId="7C153370">
      <w:pPr>
        <w:spacing w:after="0" w:line="240" w:lineRule="auto"/>
        <w:rPr>
          <w:sz w:val="23"/>
          <w:szCs w:val="23"/>
        </w:rPr>
      </w:pPr>
    </w:p>
    <w:p w:rsidR="00C36A42" w:rsidP="00C36A42" w:rsidRDefault="00C36A42" w14:paraId="546358F5" w14:textId="77777777">
      <w:pPr>
        <w:spacing w:after="0" w:line="240" w:lineRule="auto"/>
        <w:rPr>
          <w:sz w:val="23"/>
          <w:szCs w:val="23"/>
        </w:rPr>
      </w:pPr>
    </w:p>
    <w:p w:rsidR="00C36A42" w:rsidP="00C36A42" w:rsidRDefault="00C36A42" w14:paraId="57965B12" w14:textId="3E30ACB0">
      <w:pPr>
        <w:spacing w:after="0" w:line="240" w:lineRule="auto"/>
        <w:rPr>
          <w:sz w:val="23"/>
          <w:szCs w:val="23"/>
        </w:rPr>
      </w:pPr>
    </w:p>
    <w:p w:rsidR="00C36A42" w:rsidP="00C36A42" w:rsidRDefault="00C36A42" w14:paraId="6C5DAC09" w14:textId="609DB5C7">
      <w:pPr>
        <w:spacing w:after="0" w:line="240" w:lineRule="auto"/>
        <w:rPr>
          <w:sz w:val="23"/>
          <w:szCs w:val="23"/>
        </w:rPr>
      </w:pPr>
    </w:p>
    <w:p w:rsidR="00C36A42" w:rsidP="00C36A42" w:rsidRDefault="00C36A42" w14:paraId="1D536B56" w14:textId="77777777">
      <w:pPr>
        <w:spacing w:after="0" w:line="240" w:lineRule="auto"/>
        <w:rPr>
          <w:sz w:val="23"/>
          <w:szCs w:val="23"/>
        </w:rPr>
      </w:pPr>
    </w:p>
    <w:p w:rsidR="00C36A42" w:rsidP="00C36A42" w:rsidRDefault="00C36A42" w14:paraId="38B32C77" w14:textId="77777777">
      <w:pPr>
        <w:spacing w:after="0" w:line="240" w:lineRule="auto"/>
        <w:rPr>
          <w:sz w:val="23"/>
          <w:szCs w:val="23"/>
        </w:rPr>
      </w:pPr>
    </w:p>
    <w:p w:rsidR="00C027B6" w:rsidP="00C36A42" w:rsidRDefault="00C027B6" w14:paraId="2880A9F8" w14:textId="5DA81BC1">
      <w:pPr>
        <w:spacing w:after="0" w:line="240" w:lineRule="auto"/>
        <w:rPr>
          <w:rFonts w:ascii="Arial" w:hAnsi="Arial" w:eastAsia="Times New Roman" w:cs="Arial"/>
          <w:b/>
          <w:sz w:val="24"/>
          <w:szCs w:val="24"/>
          <w:lang w:eastAsia="en-GB"/>
        </w:rPr>
      </w:pPr>
      <w:r w:rsidRPr="00C027B6">
        <w:rPr>
          <w:rFonts w:ascii="Arial" w:hAnsi="Arial" w:eastAsia="Times New Roman" w:cs="Arial"/>
          <w:b/>
          <w:sz w:val="24"/>
          <w:szCs w:val="24"/>
          <w:lang w:eastAsia="en-GB"/>
        </w:rPr>
        <w:lastRenderedPageBreak/>
        <w:t xml:space="preserve">Reporting Information as required by </w:t>
      </w:r>
      <w:r w:rsidR="00E04D1D">
        <w:rPr>
          <w:rFonts w:ascii="Arial" w:hAnsi="Arial" w:eastAsia="Times New Roman" w:cs="Arial"/>
          <w:b/>
          <w:sz w:val="24"/>
          <w:szCs w:val="24"/>
          <w:lang w:eastAsia="en-GB"/>
        </w:rPr>
        <w:t xml:space="preserve">Schedule 2 </w:t>
      </w:r>
      <w:r w:rsidR="00354AD0">
        <w:rPr>
          <w:rFonts w:ascii="Arial" w:hAnsi="Arial" w:eastAsia="Times New Roman" w:cs="Arial"/>
          <w:b/>
          <w:sz w:val="24"/>
          <w:szCs w:val="24"/>
          <w:lang w:eastAsia="en-GB"/>
        </w:rPr>
        <w:t xml:space="preserve">of </w:t>
      </w:r>
      <w:r w:rsidRPr="00C027B6">
        <w:rPr>
          <w:rFonts w:ascii="Arial" w:hAnsi="Arial" w:eastAsia="Times New Roman" w:cs="Arial"/>
          <w:b/>
          <w:sz w:val="24"/>
          <w:szCs w:val="24"/>
          <w:lang w:eastAsia="en-GB"/>
        </w:rPr>
        <w:t xml:space="preserve">Community Infrastructure Levy Regulation </w:t>
      </w:r>
      <w:r w:rsidR="00354AD0">
        <w:rPr>
          <w:rFonts w:ascii="Arial" w:hAnsi="Arial" w:eastAsia="Times New Roman" w:cs="Arial"/>
          <w:b/>
          <w:sz w:val="24"/>
          <w:szCs w:val="24"/>
          <w:lang w:eastAsia="en-GB"/>
        </w:rPr>
        <w:t>121A</w:t>
      </w:r>
      <w:r w:rsidRPr="00C027B6">
        <w:rPr>
          <w:rFonts w:ascii="Arial" w:hAnsi="Arial" w:eastAsia="Times New Roman" w:cs="Arial"/>
          <w:b/>
          <w:sz w:val="24"/>
          <w:szCs w:val="24"/>
          <w:lang w:eastAsia="en-GB"/>
        </w:rPr>
        <w:t xml:space="preserve"> for the year 20</w:t>
      </w:r>
      <w:r w:rsidR="00665BA2">
        <w:rPr>
          <w:rFonts w:ascii="Arial" w:hAnsi="Arial" w:eastAsia="Times New Roman" w:cs="Arial"/>
          <w:b/>
          <w:sz w:val="24"/>
          <w:szCs w:val="24"/>
          <w:lang w:eastAsia="en-GB"/>
        </w:rPr>
        <w:t>1</w:t>
      </w:r>
      <w:r w:rsidR="00E04D1D">
        <w:rPr>
          <w:rFonts w:ascii="Arial" w:hAnsi="Arial" w:eastAsia="Times New Roman" w:cs="Arial"/>
          <w:b/>
          <w:sz w:val="24"/>
          <w:szCs w:val="24"/>
          <w:lang w:eastAsia="en-GB"/>
        </w:rPr>
        <w:t>9</w:t>
      </w:r>
      <w:r w:rsidRPr="00C027B6">
        <w:rPr>
          <w:rFonts w:ascii="Arial" w:hAnsi="Arial" w:eastAsia="Times New Roman" w:cs="Arial"/>
          <w:b/>
          <w:sz w:val="24"/>
          <w:szCs w:val="24"/>
          <w:lang w:eastAsia="en-GB"/>
        </w:rPr>
        <w:t xml:space="preserve"> to 20</w:t>
      </w:r>
      <w:r w:rsidR="00E04D1D">
        <w:rPr>
          <w:rFonts w:ascii="Arial" w:hAnsi="Arial" w:eastAsia="Times New Roman" w:cs="Arial"/>
          <w:b/>
          <w:sz w:val="24"/>
          <w:szCs w:val="24"/>
          <w:lang w:eastAsia="en-GB"/>
        </w:rPr>
        <w:t>20</w:t>
      </w:r>
      <w:r w:rsidRPr="00C027B6">
        <w:rPr>
          <w:rFonts w:ascii="Arial" w:hAnsi="Arial" w:eastAsia="Times New Roman" w:cs="Arial"/>
          <w:b/>
          <w:sz w:val="24"/>
          <w:szCs w:val="24"/>
          <w:lang w:eastAsia="en-GB"/>
        </w:rPr>
        <w:t xml:space="preserve"> for South Norfolk Council</w:t>
      </w:r>
    </w:p>
    <w:p w:rsidR="000A254B" w:rsidP="00C36A42" w:rsidRDefault="000A254B" w14:paraId="153D9DB9" w14:textId="77777777">
      <w:pPr>
        <w:spacing w:after="0" w:line="240" w:lineRule="auto"/>
        <w:rPr>
          <w:rFonts w:ascii="Arial" w:hAnsi="Arial" w:eastAsia="Times New Roman" w:cs="Arial"/>
          <w:b/>
          <w:sz w:val="24"/>
          <w:szCs w:val="24"/>
          <w:lang w:eastAsia="en-GB"/>
        </w:rPr>
      </w:pPr>
    </w:p>
    <w:p w:rsidRPr="00C027B6" w:rsidR="00272557" w:rsidP="00C027B6" w:rsidRDefault="00272557" w14:paraId="09B29388" w14:textId="77777777">
      <w:pPr>
        <w:spacing w:after="0" w:line="240" w:lineRule="auto"/>
        <w:rPr>
          <w:rFonts w:ascii="Arial" w:hAnsi="Arial" w:eastAsia="Times New Roman" w:cs="Arial"/>
          <w:b/>
          <w:sz w:val="24"/>
          <w:szCs w:val="24"/>
          <w:lang w:eastAsia="en-GB"/>
        </w:rPr>
      </w:pPr>
    </w:p>
    <w:tbl>
      <w:tblPr>
        <w:tblStyle w:val="TableGrid4"/>
        <w:tblW w:w="13779" w:type="dxa"/>
        <w:tblInd w:w="-176" w:type="dxa"/>
        <w:tblLayout w:type="fixed"/>
        <w:tblLook w:val="04A0" w:firstRow="1" w:lastRow="0" w:firstColumn="1" w:lastColumn="0" w:noHBand="0" w:noVBand="1"/>
      </w:tblPr>
      <w:tblGrid>
        <w:gridCol w:w="1537"/>
        <w:gridCol w:w="9124"/>
        <w:gridCol w:w="3118"/>
      </w:tblGrid>
      <w:tr w:rsidRPr="00C027B6" w:rsidR="00E06159" w:rsidTr="00C36A42" w14:paraId="73933A1A" w14:textId="77777777">
        <w:tc>
          <w:tcPr>
            <w:tcW w:w="1537" w:type="dxa"/>
            <w:tcBorders>
              <w:top w:val="single" w:color="auto" w:sz="4" w:space="0"/>
              <w:left w:val="single" w:color="auto" w:sz="4" w:space="0"/>
              <w:bottom w:val="single" w:color="auto" w:sz="4" w:space="0"/>
              <w:right w:val="single" w:color="auto" w:sz="4" w:space="0"/>
            </w:tcBorders>
            <w:hideMark/>
          </w:tcPr>
          <w:p w:rsidRPr="00651401" w:rsidR="00C027B6" w:rsidP="00C027B6" w:rsidRDefault="00354AD0" w14:paraId="6B0553CB" w14:textId="4C4BB6AB">
            <w:pPr>
              <w:rPr>
                <w:rFonts w:cs="Arial"/>
                <w:b/>
                <w:sz w:val="22"/>
                <w:lang w:eastAsia="en-GB"/>
              </w:rPr>
            </w:pPr>
            <w:r w:rsidRPr="00651401">
              <w:rPr>
                <w:rFonts w:cs="Arial"/>
                <w:b/>
                <w:sz w:val="22"/>
                <w:lang w:eastAsia="en-GB"/>
              </w:rPr>
              <w:t xml:space="preserve">Paragraph  </w:t>
            </w:r>
          </w:p>
        </w:tc>
        <w:tc>
          <w:tcPr>
            <w:tcW w:w="9124" w:type="dxa"/>
            <w:tcBorders>
              <w:top w:val="single" w:color="auto" w:sz="4" w:space="0"/>
              <w:left w:val="single" w:color="auto" w:sz="4" w:space="0"/>
              <w:bottom w:val="single" w:color="auto" w:sz="4" w:space="0"/>
              <w:right w:val="single" w:color="auto" w:sz="4" w:space="0"/>
            </w:tcBorders>
            <w:hideMark/>
          </w:tcPr>
          <w:p w:rsidRPr="00651401" w:rsidR="00C027B6" w:rsidP="00C027B6" w:rsidRDefault="00C027B6" w14:paraId="466C72FE" w14:textId="77777777">
            <w:pPr>
              <w:rPr>
                <w:rFonts w:cs="Arial"/>
                <w:b/>
                <w:sz w:val="22"/>
                <w:lang w:eastAsia="en-GB"/>
              </w:rPr>
            </w:pPr>
            <w:r w:rsidRPr="00651401">
              <w:rPr>
                <w:rFonts w:cs="Arial"/>
                <w:b/>
                <w:sz w:val="22"/>
                <w:lang w:eastAsia="en-GB"/>
              </w:rPr>
              <w:t>Description</w:t>
            </w:r>
          </w:p>
        </w:tc>
        <w:tc>
          <w:tcPr>
            <w:tcW w:w="3118" w:type="dxa"/>
            <w:tcBorders>
              <w:top w:val="single" w:color="auto" w:sz="4" w:space="0"/>
              <w:left w:val="single" w:color="auto" w:sz="4" w:space="0"/>
              <w:bottom w:val="single" w:color="auto" w:sz="4" w:space="0"/>
              <w:right w:val="single" w:color="auto" w:sz="4" w:space="0"/>
            </w:tcBorders>
            <w:hideMark/>
          </w:tcPr>
          <w:p w:rsidRPr="00651401" w:rsidR="00C027B6" w:rsidP="00C027B6" w:rsidRDefault="00C027B6" w14:paraId="49844D38" w14:textId="77777777">
            <w:pPr>
              <w:rPr>
                <w:rFonts w:cs="Arial"/>
                <w:b/>
                <w:sz w:val="22"/>
                <w:lang w:eastAsia="en-GB"/>
              </w:rPr>
            </w:pPr>
            <w:r w:rsidRPr="00651401">
              <w:rPr>
                <w:rFonts w:cs="Arial"/>
                <w:b/>
                <w:sz w:val="22"/>
                <w:lang w:eastAsia="en-GB"/>
              </w:rPr>
              <w:t>Amount</w:t>
            </w:r>
          </w:p>
        </w:tc>
      </w:tr>
      <w:tr w:rsidRPr="00C36A42" w:rsidR="00E06159" w:rsidTr="00C36A42" w14:paraId="0CE25E39" w14:textId="77777777">
        <w:tc>
          <w:tcPr>
            <w:tcW w:w="1537" w:type="dxa"/>
            <w:tcBorders>
              <w:top w:val="single" w:color="auto" w:sz="4" w:space="0"/>
              <w:left w:val="single" w:color="auto" w:sz="4" w:space="0"/>
              <w:bottom w:val="single" w:color="auto" w:sz="4" w:space="0"/>
              <w:right w:val="single" w:color="auto" w:sz="4" w:space="0"/>
            </w:tcBorders>
            <w:hideMark/>
          </w:tcPr>
          <w:p w:rsidRPr="00C36A42" w:rsidR="00C027B6" w:rsidP="00C027B6" w:rsidRDefault="00354AD0" w14:paraId="7228F2B3" w14:textId="2E63DEC8">
            <w:pPr>
              <w:rPr>
                <w:rFonts w:cs="Arial"/>
                <w:sz w:val="22"/>
                <w:lang w:eastAsia="en-GB"/>
              </w:rPr>
            </w:pPr>
            <w:r w:rsidRPr="00C36A42">
              <w:rPr>
                <w:rFonts w:cs="Arial"/>
                <w:sz w:val="22"/>
                <w:lang w:eastAsia="en-GB"/>
              </w:rPr>
              <w:t xml:space="preserve">1 (a) </w:t>
            </w:r>
          </w:p>
        </w:tc>
        <w:tc>
          <w:tcPr>
            <w:tcW w:w="9124" w:type="dxa"/>
            <w:tcBorders>
              <w:top w:val="single" w:color="auto" w:sz="4" w:space="0"/>
              <w:left w:val="single" w:color="auto" w:sz="4" w:space="0"/>
              <w:bottom w:val="single" w:color="auto" w:sz="4" w:space="0"/>
              <w:right w:val="single" w:color="auto" w:sz="4" w:space="0"/>
            </w:tcBorders>
            <w:hideMark/>
          </w:tcPr>
          <w:p w:rsidRPr="00C36A42" w:rsidR="00C027B6" w:rsidP="00C027B6" w:rsidRDefault="00354AD0" w14:paraId="27F3B597" w14:textId="4CF77150">
            <w:pPr>
              <w:rPr>
                <w:rFonts w:cs="Arial"/>
                <w:sz w:val="22"/>
                <w:lang w:eastAsia="en-GB"/>
              </w:rPr>
            </w:pPr>
            <w:r w:rsidRPr="00C36A42">
              <w:rPr>
                <w:rFonts w:cs="Arial"/>
                <w:sz w:val="22"/>
                <w:lang w:eastAsia="en-GB"/>
              </w:rPr>
              <w:t xml:space="preserve">The total value of CIL set out in all demand notices issued in the reported year  </w:t>
            </w:r>
          </w:p>
        </w:tc>
        <w:tc>
          <w:tcPr>
            <w:tcW w:w="3118" w:type="dxa"/>
            <w:tcBorders>
              <w:top w:val="single" w:color="auto" w:sz="4" w:space="0"/>
              <w:left w:val="single" w:color="auto" w:sz="4" w:space="0"/>
              <w:bottom w:val="single" w:color="auto" w:sz="4" w:space="0"/>
              <w:right w:val="single" w:color="auto" w:sz="4" w:space="0"/>
            </w:tcBorders>
          </w:tcPr>
          <w:p w:rsidRPr="00C36A42" w:rsidR="00354AD0" w:rsidP="00354AD0" w:rsidRDefault="00354AD0" w14:paraId="473AEDF5" w14:textId="77777777">
            <w:pPr>
              <w:rPr>
                <w:rFonts w:cs="Arial"/>
                <w:sz w:val="22"/>
                <w:lang w:eastAsia="en-GB"/>
              </w:rPr>
            </w:pPr>
            <w:r w:rsidRPr="00C36A42">
              <w:rPr>
                <w:rFonts w:cs="Arial"/>
                <w:sz w:val="22"/>
                <w:lang w:eastAsia="en-GB"/>
              </w:rPr>
              <w:t>£14,523,930.60</w:t>
            </w:r>
          </w:p>
          <w:p w:rsidRPr="00C36A42" w:rsidR="00C027B6" w:rsidP="00C027B6" w:rsidRDefault="00C027B6" w14:paraId="4B8A1F5F" w14:textId="4BC2D969">
            <w:pPr>
              <w:rPr>
                <w:rFonts w:cs="Arial"/>
                <w:sz w:val="22"/>
                <w:lang w:eastAsia="en-GB"/>
              </w:rPr>
            </w:pPr>
          </w:p>
        </w:tc>
      </w:tr>
      <w:tr w:rsidRPr="00C36A42" w:rsidR="00E06159" w:rsidTr="00C36A42" w14:paraId="7BACA21C"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354AD0" w14:paraId="63457AF6" w14:textId="5C60916B">
            <w:pPr>
              <w:rPr>
                <w:rFonts w:cs="Arial"/>
                <w:sz w:val="22"/>
                <w:lang w:eastAsia="en-GB"/>
              </w:rPr>
            </w:pPr>
            <w:r w:rsidRPr="00C36A42">
              <w:rPr>
                <w:rFonts w:cs="Arial"/>
                <w:sz w:val="22"/>
                <w:lang w:eastAsia="en-GB"/>
              </w:rPr>
              <w:t xml:space="preserve">1 (b) </w:t>
            </w:r>
          </w:p>
        </w:tc>
        <w:tc>
          <w:tcPr>
            <w:tcW w:w="9124" w:type="dxa"/>
            <w:tcBorders>
              <w:top w:val="single" w:color="auto" w:sz="4" w:space="0"/>
              <w:left w:val="single" w:color="auto" w:sz="4" w:space="0"/>
              <w:bottom w:val="single" w:color="auto" w:sz="4" w:space="0"/>
              <w:right w:val="single" w:color="auto" w:sz="4" w:space="0"/>
            </w:tcBorders>
          </w:tcPr>
          <w:p w:rsidRPr="00C36A42" w:rsidR="00C027B6" w:rsidP="00C027B6" w:rsidRDefault="00354AD0" w14:paraId="7F05146F" w14:textId="77777777">
            <w:pPr>
              <w:rPr>
                <w:rFonts w:cs="Arial"/>
                <w:sz w:val="22"/>
                <w:lang w:eastAsia="en-GB"/>
              </w:rPr>
            </w:pPr>
            <w:r w:rsidRPr="00C36A42">
              <w:rPr>
                <w:rFonts w:cs="Arial"/>
                <w:sz w:val="22"/>
                <w:lang w:eastAsia="en-GB"/>
              </w:rPr>
              <w:t xml:space="preserve">The total amount of CIL receipts for the reported year </w:t>
            </w:r>
          </w:p>
          <w:p w:rsidRPr="00C36A42" w:rsidR="006F6F61" w:rsidP="00C027B6" w:rsidRDefault="006F6F61" w14:paraId="7B8B096D" w14:textId="3045C0E0">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651401" w14:paraId="2E29263C" w14:textId="50E138E5">
            <w:pPr>
              <w:rPr>
                <w:rFonts w:cs="Arial"/>
                <w:sz w:val="22"/>
                <w:lang w:eastAsia="en-GB"/>
              </w:rPr>
            </w:pPr>
            <w:r w:rsidRPr="00C36A42">
              <w:rPr>
                <w:rFonts w:cs="Arial"/>
                <w:sz w:val="22"/>
                <w:lang w:eastAsia="en-GB"/>
              </w:rPr>
              <w:t>£4,404,042.35</w:t>
            </w:r>
          </w:p>
        </w:tc>
      </w:tr>
      <w:tr w:rsidRPr="00C36A42" w:rsidR="00E06159" w:rsidTr="00C36A42" w14:paraId="562AC83F"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354AD0" w14:paraId="28D415F7" w14:textId="2C83901C">
            <w:pPr>
              <w:rPr>
                <w:rFonts w:cs="Arial"/>
                <w:sz w:val="22"/>
                <w:lang w:eastAsia="en-GB"/>
              </w:rPr>
            </w:pPr>
            <w:r w:rsidRPr="00C36A42">
              <w:rPr>
                <w:rFonts w:cs="Arial"/>
                <w:sz w:val="22"/>
                <w:lang w:eastAsia="en-GB"/>
              </w:rPr>
              <w:t>1 (c)</w:t>
            </w:r>
          </w:p>
        </w:tc>
        <w:tc>
          <w:tcPr>
            <w:tcW w:w="9124" w:type="dxa"/>
            <w:tcBorders>
              <w:top w:val="single" w:color="auto" w:sz="4" w:space="0"/>
              <w:left w:val="single" w:color="auto" w:sz="4" w:space="0"/>
              <w:bottom w:val="single" w:color="auto" w:sz="4" w:space="0"/>
              <w:right w:val="single" w:color="auto" w:sz="4" w:space="0"/>
            </w:tcBorders>
          </w:tcPr>
          <w:p w:rsidRPr="00C36A42" w:rsidR="00C027B6" w:rsidP="00C027B6" w:rsidRDefault="00C9308E" w14:paraId="3F365772" w14:textId="77777777">
            <w:pPr>
              <w:rPr>
                <w:rFonts w:cs="Arial"/>
                <w:sz w:val="22"/>
                <w:lang w:eastAsia="en-GB"/>
              </w:rPr>
            </w:pPr>
            <w:r w:rsidRPr="00C36A42">
              <w:rPr>
                <w:rFonts w:cs="Arial"/>
                <w:sz w:val="22"/>
                <w:lang w:eastAsia="en-GB"/>
              </w:rPr>
              <w:t xml:space="preserve">The total </w:t>
            </w:r>
            <w:r w:rsidRPr="00C36A42" w:rsidR="00272557">
              <w:rPr>
                <w:rFonts w:cs="Arial"/>
                <w:sz w:val="22"/>
                <w:lang w:eastAsia="en-GB"/>
              </w:rPr>
              <w:t xml:space="preserve">amount of CIL receipts, </w:t>
            </w:r>
            <w:r w:rsidRPr="00C36A42" w:rsidR="00272557">
              <w:rPr>
                <w:rFonts w:cs="Arial"/>
                <w:sz w:val="22"/>
              </w:rPr>
              <w:t xml:space="preserve">collected by the authority, or by another person on its behalf, before the reported year but which have not been allocated  </w:t>
            </w:r>
            <w:r w:rsidRPr="00C36A42" w:rsidR="00272557">
              <w:rPr>
                <w:rFonts w:cs="Arial"/>
                <w:sz w:val="22"/>
                <w:lang w:eastAsia="en-GB"/>
              </w:rPr>
              <w:t xml:space="preserve"> </w:t>
            </w:r>
          </w:p>
          <w:p w:rsidRPr="00C36A42" w:rsidR="006F6F61" w:rsidP="00C027B6" w:rsidRDefault="006F6F61" w14:paraId="6B5B8011" w14:textId="00EDD5F9">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651401" w14:paraId="138AFD79" w14:textId="2E55BDC8">
            <w:pPr>
              <w:rPr>
                <w:rFonts w:cs="Arial"/>
                <w:sz w:val="22"/>
                <w:lang w:eastAsia="en-GB"/>
              </w:rPr>
            </w:pPr>
            <w:r w:rsidRPr="00C36A42">
              <w:rPr>
                <w:rFonts w:cs="Arial"/>
                <w:sz w:val="22"/>
                <w:lang w:eastAsia="en-GB"/>
              </w:rPr>
              <w:t>NIL</w:t>
            </w:r>
            <w:r w:rsidRPr="00C36A42" w:rsidR="00C36A42">
              <w:rPr>
                <w:rFonts w:cs="Arial"/>
                <w:sz w:val="22"/>
                <w:lang w:eastAsia="en-GB"/>
              </w:rPr>
              <w:t xml:space="preserve"> and see GNGB website for details </w:t>
            </w:r>
            <w:hyperlink w:history="1" r:id="rId8">
              <w:r w:rsidRPr="00C36A42" w:rsidR="00C36A42">
                <w:rPr>
                  <w:rStyle w:val="Hyperlink"/>
                  <w:rFonts w:cs="Arial"/>
                  <w:sz w:val="22"/>
                </w:rPr>
                <w:t>here</w:t>
              </w:r>
            </w:hyperlink>
          </w:p>
        </w:tc>
      </w:tr>
      <w:tr w:rsidRPr="00C36A42" w:rsidR="00E06159" w:rsidTr="00C36A42" w14:paraId="318E0283"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272557" w14:paraId="4251090E" w14:textId="43C8D10A">
            <w:pPr>
              <w:rPr>
                <w:rFonts w:cs="Arial"/>
                <w:sz w:val="22"/>
                <w:lang w:eastAsia="en-GB"/>
              </w:rPr>
            </w:pPr>
            <w:r w:rsidRPr="00C36A42">
              <w:rPr>
                <w:rFonts w:cs="Arial"/>
                <w:sz w:val="22"/>
                <w:lang w:eastAsia="en-GB"/>
              </w:rPr>
              <w:t xml:space="preserve">1 (d) </w:t>
            </w:r>
          </w:p>
        </w:tc>
        <w:tc>
          <w:tcPr>
            <w:tcW w:w="9124" w:type="dxa"/>
            <w:tcBorders>
              <w:top w:val="single" w:color="auto" w:sz="4" w:space="0"/>
              <w:left w:val="single" w:color="auto" w:sz="4" w:space="0"/>
              <w:bottom w:val="single" w:color="auto" w:sz="4" w:space="0"/>
              <w:right w:val="single" w:color="auto" w:sz="4" w:space="0"/>
            </w:tcBorders>
          </w:tcPr>
          <w:p w:rsidRPr="00C36A42" w:rsidR="00C027B6" w:rsidP="00272557" w:rsidRDefault="00272557" w14:paraId="59D9AF3D" w14:textId="77777777">
            <w:pPr>
              <w:rPr>
                <w:rFonts w:cs="Arial"/>
                <w:sz w:val="22"/>
                <w:lang w:eastAsia="en-GB"/>
              </w:rPr>
            </w:pPr>
            <w:r w:rsidRPr="00C36A42">
              <w:rPr>
                <w:rFonts w:cs="Arial"/>
                <w:sz w:val="22"/>
                <w:lang w:eastAsia="en-GB"/>
              </w:rPr>
              <w:t>The total amount of CIL receipts, collected by the authority, or by another person on its behalf, before the reported year and which have been allocated in the reported year</w:t>
            </w:r>
          </w:p>
          <w:p w:rsidRPr="00C36A42" w:rsidR="00245AB6" w:rsidP="00272557" w:rsidRDefault="00245AB6" w14:paraId="39D534B4" w14:textId="2EFDCE22">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FB3BF4" w14:paraId="7D86A5A7" w14:textId="71DC5FD7">
            <w:pPr>
              <w:rPr>
                <w:rFonts w:cs="Arial"/>
                <w:sz w:val="22"/>
                <w:lang w:eastAsia="en-GB"/>
              </w:rPr>
            </w:pPr>
            <w:r w:rsidRPr="00C36A42">
              <w:rPr>
                <w:rFonts w:cs="Arial"/>
                <w:sz w:val="22"/>
                <w:lang w:eastAsia="en-GB"/>
              </w:rPr>
              <w:t>NIL</w:t>
            </w:r>
            <w:r w:rsidRPr="00C36A42" w:rsidR="00C36A42">
              <w:rPr>
                <w:rFonts w:cs="Arial"/>
                <w:sz w:val="22"/>
                <w:lang w:eastAsia="en-GB"/>
              </w:rPr>
              <w:t xml:space="preserve"> and see GNGB website for details </w:t>
            </w:r>
            <w:hyperlink w:history="1" r:id="rId9">
              <w:r w:rsidRPr="00C36A42" w:rsidR="00C36A42">
                <w:rPr>
                  <w:rStyle w:val="Hyperlink"/>
                  <w:rFonts w:cs="Arial"/>
                  <w:sz w:val="22"/>
                </w:rPr>
                <w:t>here</w:t>
              </w:r>
            </w:hyperlink>
          </w:p>
        </w:tc>
      </w:tr>
      <w:tr w:rsidRPr="00C36A42" w:rsidR="00E06159" w:rsidTr="00C36A42" w14:paraId="37DA2B5B"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272557" w14:paraId="30032565" w14:textId="24F9600C">
            <w:pPr>
              <w:rPr>
                <w:rFonts w:cs="Arial"/>
                <w:sz w:val="22"/>
                <w:lang w:eastAsia="en-GB"/>
              </w:rPr>
            </w:pPr>
            <w:r w:rsidRPr="00C36A42">
              <w:rPr>
                <w:rFonts w:cs="Arial"/>
                <w:sz w:val="22"/>
                <w:lang w:eastAsia="en-GB"/>
              </w:rPr>
              <w:t xml:space="preserve">1 (e) </w:t>
            </w:r>
          </w:p>
        </w:tc>
        <w:tc>
          <w:tcPr>
            <w:tcW w:w="9124" w:type="dxa"/>
            <w:tcBorders>
              <w:top w:val="single" w:color="auto" w:sz="4" w:space="0"/>
              <w:left w:val="single" w:color="auto" w:sz="4" w:space="0"/>
              <w:bottom w:val="single" w:color="auto" w:sz="4" w:space="0"/>
              <w:right w:val="single" w:color="auto" w:sz="4" w:space="0"/>
            </w:tcBorders>
          </w:tcPr>
          <w:p w:rsidRPr="00C36A42" w:rsidR="00272557" w:rsidP="00272557" w:rsidRDefault="00272557" w14:paraId="0A962AC2" w14:textId="77777777">
            <w:pPr>
              <w:rPr>
                <w:rFonts w:cs="Arial"/>
                <w:sz w:val="22"/>
                <w:lang w:eastAsia="en-GB"/>
              </w:rPr>
            </w:pPr>
            <w:r w:rsidRPr="00C36A42">
              <w:rPr>
                <w:rFonts w:cs="Arial"/>
                <w:sz w:val="22"/>
                <w:lang w:eastAsia="en-GB"/>
              </w:rPr>
              <w:t>The total amount of CIL expenditure for the reported year</w:t>
            </w:r>
          </w:p>
          <w:p w:rsidRPr="00C36A42" w:rsidR="00245AB6" w:rsidP="00272557" w:rsidRDefault="00245AB6" w14:paraId="03BE6A50" w14:textId="0F249C8B">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651401" w14:paraId="3B0131A4" w14:textId="7E53EA88">
            <w:pPr>
              <w:rPr>
                <w:rFonts w:cs="Arial"/>
                <w:sz w:val="22"/>
                <w:lang w:eastAsia="en-GB"/>
              </w:rPr>
            </w:pPr>
            <w:r w:rsidRPr="00C36A42">
              <w:rPr>
                <w:rFonts w:cs="Arial"/>
                <w:sz w:val="22"/>
                <w:lang w:eastAsia="en-GB"/>
              </w:rPr>
              <w:t>£</w:t>
            </w:r>
            <w:r w:rsidRPr="00C36A42" w:rsidR="00C36A42">
              <w:rPr>
                <w:rFonts w:cs="Arial"/>
                <w:sz w:val="22"/>
                <w:lang w:eastAsia="en-GB"/>
              </w:rPr>
              <w:t>4,404,042.35 (p</w:t>
            </w:r>
            <w:r w:rsidRPr="00C36A42">
              <w:rPr>
                <w:rFonts w:cs="Arial"/>
                <w:sz w:val="22"/>
                <w:lang w:eastAsia="en-GB"/>
              </w:rPr>
              <w:t>assed to GNGB</w:t>
            </w:r>
            <w:r w:rsidRPr="00C36A42" w:rsidR="00C36A42">
              <w:rPr>
                <w:rFonts w:cs="Arial"/>
                <w:sz w:val="22"/>
                <w:lang w:eastAsia="en-GB"/>
              </w:rPr>
              <w:t>, Parishes &amp; admin)</w:t>
            </w:r>
          </w:p>
        </w:tc>
      </w:tr>
      <w:tr w:rsidRPr="00C36A42" w:rsidR="00E06159" w:rsidTr="00C36A42" w14:paraId="5D95F3E2"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272557" w14:paraId="47BE268A" w14:textId="7BC4A64D">
            <w:pPr>
              <w:rPr>
                <w:rFonts w:cs="Arial"/>
                <w:sz w:val="22"/>
                <w:lang w:eastAsia="en-GB"/>
              </w:rPr>
            </w:pPr>
            <w:r w:rsidRPr="00C36A42">
              <w:rPr>
                <w:rFonts w:cs="Arial"/>
                <w:sz w:val="22"/>
                <w:lang w:eastAsia="en-GB"/>
              </w:rPr>
              <w:t>1 (f)</w:t>
            </w:r>
          </w:p>
        </w:tc>
        <w:tc>
          <w:tcPr>
            <w:tcW w:w="9124" w:type="dxa"/>
            <w:tcBorders>
              <w:top w:val="single" w:color="auto" w:sz="4" w:space="0"/>
              <w:left w:val="single" w:color="auto" w:sz="4" w:space="0"/>
              <w:bottom w:val="single" w:color="auto" w:sz="4" w:space="0"/>
              <w:right w:val="single" w:color="auto" w:sz="4" w:space="0"/>
            </w:tcBorders>
          </w:tcPr>
          <w:p w:rsidRPr="00C36A42" w:rsidR="00245AB6" w:rsidP="00245AB6" w:rsidRDefault="00272557" w14:paraId="64D945DC" w14:textId="3BB0C908">
            <w:pPr>
              <w:rPr>
                <w:rFonts w:cs="Arial"/>
                <w:sz w:val="22"/>
                <w:lang w:eastAsia="en-GB"/>
              </w:rPr>
            </w:pPr>
            <w:r w:rsidRPr="00C36A42">
              <w:rPr>
                <w:rFonts w:cs="Arial"/>
                <w:sz w:val="22"/>
                <w:lang w:eastAsia="en-GB"/>
              </w:rPr>
              <w:t>The total amount of CIL receipts, whenever collected, which were allocated but not spent during the reported year</w:t>
            </w: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0A254B" w14:paraId="7E59FEEE" w14:textId="35632084">
            <w:pPr>
              <w:rPr>
                <w:rFonts w:cs="Arial"/>
                <w:sz w:val="22"/>
                <w:lang w:eastAsia="en-GB"/>
              </w:rPr>
            </w:pPr>
            <w:r>
              <w:rPr>
                <w:rFonts w:cs="Arial"/>
                <w:sz w:val="22"/>
                <w:lang w:eastAsia="en-GB"/>
              </w:rPr>
              <w:t xml:space="preserve">See GNGB website for details </w:t>
            </w:r>
            <w:hyperlink w:history="1" r:id="rId10">
              <w:r w:rsidRPr="00C36A42">
                <w:rPr>
                  <w:rStyle w:val="Hyperlink"/>
                  <w:rFonts w:cs="Arial"/>
                  <w:szCs w:val="24"/>
                </w:rPr>
                <w:t>here</w:t>
              </w:r>
            </w:hyperlink>
          </w:p>
        </w:tc>
      </w:tr>
      <w:tr w:rsidRPr="00C36A42" w:rsidR="00E06159" w:rsidTr="00C36A42" w14:paraId="596EFCC2"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272557" w14:paraId="5CBA1604" w14:textId="00582DE8">
            <w:pPr>
              <w:rPr>
                <w:rFonts w:cs="Arial"/>
                <w:sz w:val="22"/>
                <w:lang w:eastAsia="en-GB"/>
              </w:rPr>
            </w:pPr>
            <w:r w:rsidRPr="00C36A42">
              <w:rPr>
                <w:rFonts w:cs="Arial"/>
                <w:sz w:val="22"/>
                <w:lang w:eastAsia="en-GB"/>
              </w:rPr>
              <w:t xml:space="preserve">1 (g) </w:t>
            </w:r>
          </w:p>
        </w:tc>
        <w:tc>
          <w:tcPr>
            <w:tcW w:w="9124" w:type="dxa"/>
            <w:tcBorders>
              <w:top w:val="single" w:color="auto" w:sz="4" w:space="0"/>
              <w:left w:val="single" w:color="auto" w:sz="4" w:space="0"/>
              <w:bottom w:val="single" w:color="auto" w:sz="4" w:space="0"/>
              <w:right w:val="single" w:color="auto" w:sz="4" w:space="0"/>
            </w:tcBorders>
          </w:tcPr>
          <w:p w:rsidRPr="00C36A42" w:rsidR="00C027B6" w:rsidP="00C027B6" w:rsidRDefault="00272557" w14:paraId="5F44324A" w14:textId="77777777">
            <w:pPr>
              <w:rPr>
                <w:rFonts w:cs="Arial"/>
                <w:sz w:val="22"/>
                <w:lang w:eastAsia="en-GB"/>
              </w:rPr>
            </w:pPr>
            <w:r w:rsidRPr="00C36A42">
              <w:rPr>
                <w:rFonts w:cs="Arial"/>
                <w:sz w:val="22"/>
                <w:lang w:eastAsia="en-GB"/>
              </w:rPr>
              <w:t xml:space="preserve">In relation to CIL expenditure for the reported year, summary details of- </w:t>
            </w:r>
          </w:p>
          <w:p w:rsidRPr="00C36A42" w:rsidR="00245AB6" w:rsidP="00C027B6" w:rsidRDefault="00245AB6" w14:paraId="69EB8D63" w14:textId="081D1891">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E06159" w:rsidRDefault="00C027B6" w14:paraId="0C9C0B6D" w14:textId="71608AD9">
            <w:pPr>
              <w:rPr>
                <w:rFonts w:cs="Arial"/>
                <w:sz w:val="22"/>
                <w:lang w:eastAsia="en-GB"/>
              </w:rPr>
            </w:pPr>
          </w:p>
        </w:tc>
      </w:tr>
      <w:tr w:rsidRPr="00C36A42" w:rsidR="00E06159" w:rsidTr="00C36A42" w14:paraId="3B3A827E"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C027B6" w14:paraId="11E3861B" w14:textId="559DA899">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272557" w:rsidP="00272557" w:rsidRDefault="00272557" w14:paraId="4CB1C4F0" w14:textId="77777777">
            <w:pPr>
              <w:pStyle w:val="ListParagraph"/>
              <w:numPr>
                <w:ilvl w:val="0"/>
                <w:numId w:val="1"/>
              </w:numPr>
              <w:rPr>
                <w:rFonts w:cs="Arial"/>
                <w:sz w:val="22"/>
                <w:lang w:eastAsia="en-GB"/>
              </w:rPr>
            </w:pPr>
            <w:r w:rsidRPr="00C36A42">
              <w:rPr>
                <w:rFonts w:cs="Arial"/>
                <w:sz w:val="22"/>
                <w:lang w:eastAsia="en-GB"/>
              </w:rPr>
              <w:t>The items of infrastructure on which CIL (including land payments) has been spent and the amount of CIL spent on each item</w:t>
            </w:r>
          </w:p>
          <w:p w:rsidRPr="00C36A42" w:rsidR="00245AB6" w:rsidP="00245AB6" w:rsidRDefault="00245AB6" w14:paraId="609C754D" w14:textId="0B51658F">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651401" w14:paraId="6D4CED5A" w14:textId="36E34983">
            <w:pPr>
              <w:rPr>
                <w:rFonts w:cs="Arial"/>
                <w:sz w:val="22"/>
                <w:lang w:eastAsia="en-GB"/>
              </w:rPr>
            </w:pPr>
            <w:r w:rsidRPr="00C36A42">
              <w:rPr>
                <w:rFonts w:cs="Arial"/>
                <w:sz w:val="22"/>
                <w:lang w:eastAsia="en-GB"/>
              </w:rPr>
              <w:t xml:space="preserve">See GNGB website for details </w:t>
            </w:r>
            <w:hyperlink w:history="1" r:id="rId11">
              <w:r w:rsidRPr="00C36A42" w:rsidR="000A254B">
                <w:rPr>
                  <w:rStyle w:val="Hyperlink"/>
                  <w:rFonts w:cs="Arial"/>
                  <w:szCs w:val="24"/>
                </w:rPr>
                <w:t>here</w:t>
              </w:r>
            </w:hyperlink>
          </w:p>
        </w:tc>
      </w:tr>
      <w:tr w:rsidRPr="00C36A42" w:rsidR="00E06159" w:rsidTr="00C36A42" w14:paraId="187E54E7"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C027B6" w14:paraId="4EACEBB9" w14:textId="6F7B38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C027B6" w:rsidP="00272557" w:rsidRDefault="00272557" w14:paraId="5736E714" w14:textId="77777777">
            <w:pPr>
              <w:pStyle w:val="ListParagraph"/>
              <w:numPr>
                <w:ilvl w:val="0"/>
                <w:numId w:val="1"/>
              </w:numPr>
              <w:rPr>
                <w:rFonts w:cs="Arial"/>
                <w:sz w:val="22"/>
                <w:lang w:eastAsia="en-GB"/>
              </w:rPr>
            </w:pPr>
            <w:r w:rsidRPr="00C36A42">
              <w:rPr>
                <w:rFonts w:cs="Arial"/>
                <w:sz w:val="22"/>
                <w:lang w:eastAsia="en-GB"/>
              </w:rPr>
              <w:t xml:space="preserve">The amount of CIL spent on repaying money borrowed, including any interest, with details of the items of infrastructure which that money was used to provide (wholly or in part)    </w:t>
            </w:r>
          </w:p>
          <w:p w:rsidRPr="00C36A42" w:rsidR="00245AB6" w:rsidP="00245AB6" w:rsidRDefault="00245AB6" w14:paraId="5ADBEAC7" w14:textId="4835E8F5">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651401" w14:paraId="41CAB493" w14:textId="30EC5970">
            <w:pPr>
              <w:rPr>
                <w:rFonts w:cs="Arial"/>
                <w:sz w:val="22"/>
                <w:lang w:eastAsia="en-GB"/>
              </w:rPr>
            </w:pPr>
            <w:r w:rsidRPr="00C36A42">
              <w:rPr>
                <w:rFonts w:cs="Arial"/>
                <w:sz w:val="22"/>
                <w:lang w:eastAsia="en-GB"/>
              </w:rPr>
              <w:t>See GNGB website for details</w:t>
            </w:r>
            <w:r w:rsidR="000A254B">
              <w:rPr>
                <w:rFonts w:cs="Arial"/>
                <w:sz w:val="22"/>
                <w:lang w:eastAsia="en-GB"/>
              </w:rPr>
              <w:t xml:space="preserve"> </w:t>
            </w:r>
            <w:hyperlink w:history="1" r:id="rId12">
              <w:r w:rsidRPr="00C36A42" w:rsidR="000A254B">
                <w:rPr>
                  <w:rStyle w:val="Hyperlink"/>
                  <w:rFonts w:cs="Arial"/>
                  <w:szCs w:val="24"/>
                </w:rPr>
                <w:t>here</w:t>
              </w:r>
            </w:hyperlink>
            <w:r w:rsidRPr="00C36A42">
              <w:rPr>
                <w:rFonts w:cs="Arial"/>
                <w:sz w:val="22"/>
                <w:lang w:eastAsia="en-GB"/>
              </w:rPr>
              <w:t xml:space="preserve"> </w:t>
            </w:r>
          </w:p>
        </w:tc>
      </w:tr>
      <w:tr w:rsidRPr="00C36A42" w:rsidR="00E06159" w:rsidTr="00C36A42" w14:paraId="6D569C6F"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C027B6" w14:paraId="418BF22B" w14:textId="7B1351D1">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C027B6" w:rsidP="00272557" w:rsidRDefault="00CC2F8D" w14:paraId="2E9DCDE2" w14:textId="5B46F95A">
            <w:pPr>
              <w:pStyle w:val="ListParagraph"/>
              <w:numPr>
                <w:ilvl w:val="0"/>
                <w:numId w:val="1"/>
              </w:numPr>
              <w:rPr>
                <w:rFonts w:cs="Arial"/>
                <w:sz w:val="22"/>
                <w:lang w:eastAsia="en-GB"/>
              </w:rPr>
            </w:pPr>
            <w:r w:rsidRPr="00C36A42">
              <w:rPr>
                <w:rFonts w:cs="Arial"/>
                <w:sz w:val="22"/>
                <w:lang w:eastAsia="en-GB"/>
              </w:rPr>
              <w:t xml:space="preserve">The amount of CIL spent on administrative expenses pursuant to regulation 61, and that amount expressed as a percentage of CIL collected in that year in accordance with the regulations </w:t>
            </w:r>
          </w:p>
          <w:p w:rsidRPr="00C36A42" w:rsidR="00245AB6" w:rsidP="00245AB6" w:rsidRDefault="00245AB6" w14:paraId="30D623B4" w14:textId="6548A2E3">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651401" w14:paraId="22248031" w14:textId="0A9A234A">
            <w:pPr>
              <w:rPr>
                <w:rFonts w:cs="Arial"/>
                <w:sz w:val="22"/>
                <w:lang w:eastAsia="en-GB"/>
              </w:rPr>
            </w:pPr>
            <w:r w:rsidRPr="00C36A42">
              <w:rPr>
                <w:rFonts w:cs="Arial"/>
                <w:sz w:val="22"/>
                <w:lang w:eastAsia="en-GB"/>
              </w:rPr>
              <w:t xml:space="preserve">£220,202.18 </w:t>
            </w:r>
            <w:r w:rsidR="000A254B">
              <w:rPr>
                <w:rFonts w:cs="Arial"/>
                <w:sz w:val="22"/>
                <w:lang w:eastAsia="en-GB"/>
              </w:rPr>
              <w:t>(</w:t>
            </w:r>
            <w:r w:rsidRPr="00C36A42">
              <w:rPr>
                <w:rFonts w:cs="Arial"/>
                <w:sz w:val="22"/>
                <w:lang w:eastAsia="en-GB"/>
              </w:rPr>
              <w:t>5% of total CIL collected</w:t>
            </w:r>
            <w:r w:rsidR="000A254B">
              <w:rPr>
                <w:rFonts w:cs="Arial"/>
                <w:sz w:val="22"/>
                <w:lang w:eastAsia="en-GB"/>
              </w:rPr>
              <w:t>)</w:t>
            </w:r>
            <w:r w:rsidRPr="00C36A42">
              <w:rPr>
                <w:rFonts w:cs="Arial"/>
                <w:sz w:val="22"/>
                <w:lang w:eastAsia="en-GB"/>
              </w:rPr>
              <w:t xml:space="preserve"> </w:t>
            </w:r>
          </w:p>
        </w:tc>
      </w:tr>
      <w:tr w:rsidRPr="00C36A42" w:rsidR="00E06159" w:rsidTr="00C36A42" w14:paraId="468CA60E"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CC2F8D" w14:paraId="2EBC36DA" w14:textId="32A92127">
            <w:pPr>
              <w:rPr>
                <w:rFonts w:cs="Arial"/>
                <w:sz w:val="22"/>
                <w:lang w:eastAsia="en-GB"/>
              </w:rPr>
            </w:pPr>
            <w:r w:rsidRPr="00C36A42">
              <w:rPr>
                <w:rFonts w:cs="Arial"/>
                <w:sz w:val="22"/>
                <w:lang w:eastAsia="en-GB"/>
              </w:rPr>
              <w:lastRenderedPageBreak/>
              <w:t xml:space="preserve">1 (h) </w:t>
            </w:r>
          </w:p>
        </w:tc>
        <w:tc>
          <w:tcPr>
            <w:tcW w:w="9124" w:type="dxa"/>
            <w:tcBorders>
              <w:top w:val="single" w:color="auto" w:sz="4" w:space="0"/>
              <w:left w:val="single" w:color="auto" w:sz="4" w:space="0"/>
              <w:bottom w:val="single" w:color="auto" w:sz="4" w:space="0"/>
              <w:right w:val="single" w:color="auto" w:sz="4" w:space="0"/>
            </w:tcBorders>
          </w:tcPr>
          <w:p w:rsidRPr="00C36A42" w:rsidR="00C027B6" w:rsidP="00C027B6" w:rsidRDefault="00CC2F8D" w14:paraId="75294EC8" w14:textId="77777777">
            <w:pPr>
              <w:rPr>
                <w:rFonts w:cs="Arial"/>
                <w:sz w:val="22"/>
                <w:lang w:eastAsia="en-GB"/>
              </w:rPr>
            </w:pPr>
            <w:r w:rsidRPr="00C36A42">
              <w:rPr>
                <w:rFonts w:cs="Arial"/>
                <w:sz w:val="22"/>
                <w:lang w:eastAsia="en-GB"/>
              </w:rPr>
              <w:t xml:space="preserve">In relation to CIL receipts, whenever collected, which were allocated but not spent during the reported year, summary details of the items of infrastructure on which CIL (including land payments) has been allocated and the amount of CIL allocated to each item.   </w:t>
            </w:r>
          </w:p>
          <w:p w:rsidRPr="00C36A42" w:rsidR="00245AB6" w:rsidP="00C027B6" w:rsidRDefault="00245AB6" w14:paraId="05910BA9" w14:textId="564A22E3">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651401" w14:paraId="28790A4B" w14:textId="1E2DC9EC">
            <w:pPr>
              <w:rPr>
                <w:rFonts w:cs="Arial"/>
                <w:sz w:val="22"/>
                <w:lang w:eastAsia="en-GB"/>
              </w:rPr>
            </w:pPr>
            <w:r w:rsidRPr="00C36A42">
              <w:rPr>
                <w:rFonts w:cs="Arial"/>
                <w:sz w:val="22"/>
                <w:lang w:eastAsia="en-GB"/>
              </w:rPr>
              <w:t>See GNGB website for details</w:t>
            </w:r>
            <w:r w:rsidR="000A254B">
              <w:rPr>
                <w:rFonts w:cs="Arial"/>
                <w:sz w:val="22"/>
                <w:lang w:eastAsia="en-GB"/>
              </w:rPr>
              <w:t xml:space="preserve"> </w:t>
            </w:r>
            <w:hyperlink w:history="1" r:id="rId13">
              <w:r w:rsidRPr="00C36A42" w:rsidR="000A254B">
                <w:rPr>
                  <w:rStyle w:val="Hyperlink"/>
                  <w:rFonts w:cs="Arial"/>
                  <w:szCs w:val="24"/>
                </w:rPr>
                <w:t>here</w:t>
              </w:r>
            </w:hyperlink>
            <w:r w:rsidR="000A254B">
              <w:rPr>
                <w:rFonts w:cs="Arial"/>
                <w:sz w:val="22"/>
                <w:lang w:eastAsia="en-GB"/>
              </w:rPr>
              <w:t xml:space="preserve"> </w:t>
            </w:r>
            <w:r w:rsidRPr="00C36A42">
              <w:rPr>
                <w:rFonts w:cs="Arial"/>
                <w:sz w:val="22"/>
                <w:lang w:eastAsia="en-GB"/>
              </w:rPr>
              <w:t xml:space="preserve"> </w:t>
            </w:r>
          </w:p>
        </w:tc>
      </w:tr>
      <w:tr w:rsidRPr="00C36A42" w:rsidR="00E06159" w:rsidTr="00C36A42" w14:paraId="01D993F0"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CC2F8D" w14:paraId="1CCB3384" w14:textId="52F53E13">
            <w:pPr>
              <w:rPr>
                <w:rFonts w:cs="Arial"/>
                <w:sz w:val="22"/>
                <w:lang w:eastAsia="en-GB"/>
              </w:rPr>
            </w:pPr>
            <w:r w:rsidRPr="00C36A42">
              <w:rPr>
                <w:rFonts w:cs="Arial"/>
                <w:sz w:val="22"/>
                <w:lang w:eastAsia="en-GB"/>
              </w:rPr>
              <w:t xml:space="preserve">1 (i) </w:t>
            </w:r>
          </w:p>
        </w:tc>
        <w:tc>
          <w:tcPr>
            <w:tcW w:w="9124" w:type="dxa"/>
            <w:tcBorders>
              <w:top w:val="single" w:color="auto" w:sz="4" w:space="0"/>
              <w:left w:val="single" w:color="auto" w:sz="4" w:space="0"/>
              <w:bottom w:val="single" w:color="auto" w:sz="4" w:space="0"/>
              <w:right w:val="single" w:color="auto" w:sz="4" w:space="0"/>
            </w:tcBorders>
          </w:tcPr>
          <w:p w:rsidRPr="00C36A42" w:rsidR="00CC2F8D" w:rsidP="00CC2F8D" w:rsidRDefault="00CC2F8D" w14:paraId="04796F78" w14:textId="77777777">
            <w:pPr>
              <w:rPr>
                <w:rFonts w:cs="Arial"/>
                <w:sz w:val="22"/>
                <w:lang w:eastAsia="en-GB"/>
              </w:rPr>
            </w:pPr>
            <w:r w:rsidRPr="00C36A42">
              <w:rPr>
                <w:rFonts w:cs="Arial"/>
                <w:sz w:val="22"/>
                <w:lang w:eastAsia="en-GB"/>
              </w:rPr>
              <w:t xml:space="preserve">The amount of CIL passed to- </w:t>
            </w:r>
          </w:p>
          <w:p w:rsidRPr="00C36A42" w:rsidR="00245AB6" w:rsidP="00CC2F8D" w:rsidRDefault="00245AB6" w14:paraId="3A840CEB" w14:textId="4CC03336">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C027B6" w14:paraId="76F07586" w14:textId="29F01403">
            <w:pPr>
              <w:rPr>
                <w:rFonts w:cs="Arial"/>
                <w:sz w:val="22"/>
                <w:lang w:eastAsia="en-GB"/>
              </w:rPr>
            </w:pPr>
          </w:p>
        </w:tc>
      </w:tr>
      <w:tr w:rsidRPr="00C36A42" w:rsidR="00E06159" w:rsidTr="00C36A42" w14:paraId="65EE8342"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C027B6" w14:paraId="130D1437" w14:textId="0C7B97D6">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C027B6" w:rsidP="00CC2F8D" w:rsidRDefault="00CC2F8D" w14:paraId="79500F3A" w14:textId="77777777">
            <w:pPr>
              <w:pStyle w:val="ListParagraph"/>
              <w:numPr>
                <w:ilvl w:val="0"/>
                <w:numId w:val="2"/>
              </w:numPr>
              <w:rPr>
                <w:rFonts w:cs="Arial"/>
                <w:sz w:val="22"/>
                <w:lang w:eastAsia="en-GB"/>
              </w:rPr>
            </w:pPr>
            <w:r w:rsidRPr="00C36A42">
              <w:rPr>
                <w:rFonts w:cs="Arial"/>
                <w:sz w:val="22"/>
                <w:lang w:eastAsia="en-GB"/>
              </w:rPr>
              <w:t xml:space="preserve">Any parish council under regulation 59A or 59B and </w:t>
            </w:r>
          </w:p>
          <w:p w:rsidRPr="00C36A42" w:rsidR="00245AB6" w:rsidP="00245AB6" w:rsidRDefault="00245AB6" w14:paraId="77CD3408" w14:textId="306A4E71">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651401" w14:paraId="165214A4" w14:textId="42AB4AA1">
            <w:pPr>
              <w:rPr>
                <w:rFonts w:cs="Arial"/>
                <w:sz w:val="22"/>
                <w:lang w:eastAsia="en-GB"/>
              </w:rPr>
            </w:pPr>
            <w:r w:rsidRPr="00C36A42">
              <w:rPr>
                <w:rFonts w:cs="Arial"/>
                <w:sz w:val="22"/>
                <w:lang w:eastAsia="en-GB"/>
              </w:rPr>
              <w:t xml:space="preserve">£807,523.64 </w:t>
            </w:r>
          </w:p>
        </w:tc>
      </w:tr>
      <w:tr w:rsidRPr="00C36A42" w:rsidR="00E06159" w:rsidTr="00C36A42" w14:paraId="596EF8C0"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C027B6" w14:paraId="0A2E7736" w14:textId="6D0B906D">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C027B6" w:rsidP="00CC2F8D" w:rsidRDefault="00CC2F8D" w14:paraId="7DA52815" w14:textId="77777777">
            <w:pPr>
              <w:pStyle w:val="ListParagraph"/>
              <w:numPr>
                <w:ilvl w:val="0"/>
                <w:numId w:val="2"/>
              </w:numPr>
              <w:rPr>
                <w:rFonts w:cs="Arial"/>
                <w:sz w:val="22"/>
                <w:lang w:eastAsia="en-GB"/>
              </w:rPr>
            </w:pPr>
            <w:r w:rsidRPr="00C36A42">
              <w:rPr>
                <w:rFonts w:cs="Arial"/>
                <w:sz w:val="22"/>
                <w:lang w:eastAsia="en-GB"/>
              </w:rPr>
              <w:t xml:space="preserve">Any person under regulation 59 (4) </w:t>
            </w:r>
          </w:p>
          <w:p w:rsidRPr="00C36A42" w:rsidR="00245AB6" w:rsidP="00245AB6" w:rsidRDefault="00245AB6" w14:paraId="33A00C3D" w14:textId="64E34399">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651401" w14:paraId="1E024DCA" w14:textId="0AC8FA0E">
            <w:pPr>
              <w:rPr>
                <w:rFonts w:cs="Arial"/>
                <w:sz w:val="22"/>
                <w:lang w:eastAsia="en-GB"/>
              </w:rPr>
            </w:pPr>
            <w:r w:rsidRPr="00C36A42">
              <w:rPr>
                <w:rFonts w:cs="Arial"/>
                <w:sz w:val="22"/>
                <w:lang w:eastAsia="en-GB"/>
              </w:rPr>
              <w:t xml:space="preserve">£3,3759,48.55 passed to GNGB to spend </w:t>
            </w:r>
          </w:p>
        </w:tc>
      </w:tr>
      <w:tr w:rsidRPr="00C36A42" w:rsidR="00E06159" w:rsidTr="00C36A42" w14:paraId="7284AD41"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CC2F8D" w14:paraId="1149CAB3" w14:textId="2033284A">
            <w:pPr>
              <w:rPr>
                <w:rFonts w:cs="Arial"/>
                <w:sz w:val="22"/>
                <w:lang w:eastAsia="en-GB"/>
              </w:rPr>
            </w:pPr>
            <w:r w:rsidRPr="00C36A42">
              <w:rPr>
                <w:rFonts w:cs="Arial"/>
                <w:sz w:val="22"/>
                <w:lang w:eastAsia="en-GB"/>
              </w:rPr>
              <w:t xml:space="preserve">1 (j) </w:t>
            </w:r>
          </w:p>
        </w:tc>
        <w:tc>
          <w:tcPr>
            <w:tcW w:w="9124" w:type="dxa"/>
            <w:tcBorders>
              <w:top w:val="single" w:color="auto" w:sz="4" w:space="0"/>
              <w:left w:val="single" w:color="auto" w:sz="4" w:space="0"/>
              <w:bottom w:val="single" w:color="auto" w:sz="4" w:space="0"/>
              <w:right w:val="single" w:color="auto" w:sz="4" w:space="0"/>
            </w:tcBorders>
          </w:tcPr>
          <w:p w:rsidRPr="00C36A42" w:rsidR="00C027B6" w:rsidP="00C027B6" w:rsidRDefault="00CC2F8D" w14:paraId="7E6BDEDB" w14:textId="43B127C8">
            <w:pPr>
              <w:rPr>
                <w:rFonts w:cs="Arial"/>
                <w:sz w:val="22"/>
                <w:lang w:eastAsia="en-GB"/>
              </w:rPr>
            </w:pPr>
            <w:r w:rsidRPr="00C36A42">
              <w:rPr>
                <w:rFonts w:cs="Arial"/>
                <w:sz w:val="22"/>
                <w:lang w:eastAsia="en-GB"/>
              </w:rPr>
              <w:t>Summary details of the receipt and expenditure</w:t>
            </w:r>
            <w:r w:rsidRPr="00C36A42" w:rsidR="00245AB6">
              <w:rPr>
                <w:rFonts w:cs="Arial"/>
                <w:sz w:val="22"/>
                <w:lang w:eastAsia="en-GB"/>
              </w:rPr>
              <w:t xml:space="preserve"> of CIL receipts to which regulations 59e or 59F applied during the reported year including-  </w:t>
            </w:r>
            <w:r w:rsidRPr="00C36A42">
              <w:rPr>
                <w:rFonts w:cs="Arial"/>
                <w:sz w:val="22"/>
                <w:lang w:eastAsia="en-GB"/>
              </w:rPr>
              <w:t xml:space="preserve"> </w:t>
            </w:r>
          </w:p>
          <w:p w:rsidRPr="00C36A42" w:rsidR="00245AB6" w:rsidP="00C027B6" w:rsidRDefault="00245AB6" w14:paraId="56F1EC8C" w14:textId="41B601B2">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C027B6" w14:paraId="1A0CA78E" w14:textId="6FB08EA5">
            <w:pPr>
              <w:rPr>
                <w:rFonts w:cs="Arial"/>
                <w:sz w:val="22"/>
                <w:lang w:eastAsia="en-GB"/>
              </w:rPr>
            </w:pPr>
          </w:p>
        </w:tc>
      </w:tr>
      <w:tr w:rsidRPr="00C36A42" w:rsidR="00E06159" w:rsidTr="00C36A42" w14:paraId="204DE8F8"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C027B6" w14:paraId="66F77911" w14:textId="691D3CA3">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C027B6" w:rsidP="00CC2F8D" w:rsidRDefault="00245AB6" w14:paraId="61A91864" w14:textId="40026129">
            <w:pPr>
              <w:pStyle w:val="ListParagraph"/>
              <w:numPr>
                <w:ilvl w:val="0"/>
                <w:numId w:val="3"/>
              </w:numPr>
              <w:rPr>
                <w:rFonts w:cs="Arial"/>
                <w:sz w:val="22"/>
                <w:lang w:eastAsia="en-GB"/>
              </w:rPr>
            </w:pPr>
            <w:r w:rsidRPr="00C36A42">
              <w:rPr>
                <w:rFonts w:cs="Arial"/>
                <w:sz w:val="22"/>
                <w:lang w:eastAsia="en-GB"/>
              </w:rPr>
              <w:t>The total CIL receipts that regul</w:t>
            </w:r>
            <w:r w:rsidRPr="00C36A42" w:rsidR="00651401">
              <w:rPr>
                <w:rFonts w:cs="Arial"/>
                <w:sz w:val="22"/>
                <w:lang w:eastAsia="en-GB"/>
              </w:rPr>
              <w:t>a</w:t>
            </w:r>
            <w:r w:rsidRPr="00C36A42">
              <w:rPr>
                <w:rFonts w:cs="Arial"/>
                <w:sz w:val="22"/>
                <w:lang w:eastAsia="en-GB"/>
              </w:rPr>
              <w:t>tions 59E and 59F applied to</w:t>
            </w:r>
          </w:p>
          <w:p w:rsidRPr="00C36A42" w:rsidR="00245AB6" w:rsidP="00245AB6" w:rsidRDefault="00245AB6" w14:paraId="3EEC7517" w14:textId="5A3FEE62">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651401" w14:paraId="1054CD1F" w14:textId="071BE597">
            <w:pPr>
              <w:rPr>
                <w:rFonts w:cs="Arial"/>
                <w:sz w:val="22"/>
                <w:lang w:eastAsia="en-GB"/>
              </w:rPr>
            </w:pPr>
            <w:r w:rsidRPr="00C36A42">
              <w:rPr>
                <w:rFonts w:cs="Arial"/>
                <w:sz w:val="22"/>
                <w:lang w:eastAsia="en-GB"/>
              </w:rPr>
              <w:t>£367.97</w:t>
            </w:r>
          </w:p>
        </w:tc>
      </w:tr>
      <w:tr w:rsidRPr="00C36A42" w:rsidR="00E06159" w:rsidTr="00C36A42" w14:paraId="24246164"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C027B6" w14:paraId="67EF293D" w14:textId="585FBCD2">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245AB6" w:rsidP="00CC2F8D" w:rsidRDefault="00245AB6" w14:paraId="35568A28" w14:textId="77777777">
            <w:pPr>
              <w:pStyle w:val="ListParagraph"/>
              <w:numPr>
                <w:ilvl w:val="0"/>
                <w:numId w:val="3"/>
              </w:numPr>
              <w:rPr>
                <w:rFonts w:cs="Arial"/>
                <w:sz w:val="22"/>
                <w:lang w:eastAsia="en-GB"/>
              </w:rPr>
            </w:pPr>
            <w:r w:rsidRPr="00C36A42">
              <w:rPr>
                <w:rFonts w:cs="Arial"/>
                <w:sz w:val="22"/>
                <w:lang w:eastAsia="en-GB"/>
              </w:rPr>
              <w:t>The items of infrastructure to which the CIL receipts to which regulations 59E and 59F applied have been allocated or spent, and the amount of expenditure allocated or spent on each item</w:t>
            </w:r>
          </w:p>
          <w:p w:rsidRPr="00C36A42" w:rsidR="00C027B6" w:rsidP="00245AB6" w:rsidRDefault="00245AB6" w14:paraId="5D0DFD5F" w14:textId="4E79E517">
            <w:pPr>
              <w:rPr>
                <w:rFonts w:cs="Arial"/>
                <w:sz w:val="22"/>
                <w:lang w:eastAsia="en-GB"/>
              </w:rPr>
            </w:pPr>
            <w:r w:rsidRPr="00C36A42">
              <w:rPr>
                <w:rFonts w:cs="Arial"/>
                <w:sz w:val="22"/>
                <w:lang w:eastAsia="en-GB"/>
              </w:rPr>
              <w:t xml:space="preserve">  </w:t>
            </w:r>
            <w:r w:rsidRPr="00C36A42" w:rsidR="00CC2F8D">
              <w:rPr>
                <w:rFonts w:cs="Arial"/>
                <w:sz w:val="22"/>
                <w:lang w:eastAsia="en-GB"/>
              </w:rPr>
              <w:t xml:space="preserve"> </w:t>
            </w: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651401" w14:paraId="015443A6" w14:textId="77777777">
            <w:pPr>
              <w:rPr>
                <w:rFonts w:cs="Arial"/>
                <w:sz w:val="22"/>
                <w:lang w:eastAsia="en-GB"/>
              </w:rPr>
            </w:pPr>
            <w:r w:rsidRPr="00C36A42">
              <w:rPr>
                <w:rFonts w:cs="Arial"/>
                <w:sz w:val="22"/>
                <w:lang w:eastAsia="en-GB"/>
              </w:rPr>
              <w:t xml:space="preserve">£943.34 </w:t>
            </w:r>
          </w:p>
          <w:p w:rsidRPr="00C36A42" w:rsidR="00651401" w:rsidP="00C027B6" w:rsidRDefault="00651401" w14:paraId="7CBE1B25" w14:textId="71EEDFA8">
            <w:pPr>
              <w:rPr>
                <w:rFonts w:cs="Arial"/>
                <w:sz w:val="22"/>
                <w:lang w:eastAsia="en-GB"/>
              </w:rPr>
            </w:pPr>
            <w:r w:rsidRPr="00C36A42">
              <w:rPr>
                <w:rFonts w:cs="Arial"/>
                <w:sz w:val="22"/>
                <w:lang w:eastAsia="en-GB"/>
              </w:rPr>
              <w:t xml:space="preserve">See separate box for details </w:t>
            </w:r>
          </w:p>
        </w:tc>
      </w:tr>
      <w:tr w:rsidRPr="00C36A42" w:rsidR="00E06159" w:rsidTr="00C36A42" w14:paraId="3972B9D1"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BD0426" w14:paraId="22B8F20D" w14:textId="09BB5F96">
            <w:pPr>
              <w:rPr>
                <w:rFonts w:cs="Arial"/>
                <w:sz w:val="22"/>
                <w:lang w:eastAsia="en-GB"/>
              </w:rPr>
            </w:pPr>
            <w:r w:rsidRPr="00C36A42">
              <w:rPr>
                <w:rFonts w:cs="Arial"/>
                <w:sz w:val="22"/>
                <w:lang w:eastAsia="en-GB"/>
              </w:rPr>
              <w:t xml:space="preserve">1 (k) </w:t>
            </w:r>
          </w:p>
        </w:tc>
        <w:tc>
          <w:tcPr>
            <w:tcW w:w="9124" w:type="dxa"/>
            <w:tcBorders>
              <w:top w:val="single" w:color="auto" w:sz="4" w:space="0"/>
              <w:left w:val="single" w:color="auto" w:sz="4" w:space="0"/>
              <w:bottom w:val="single" w:color="auto" w:sz="4" w:space="0"/>
              <w:right w:val="single" w:color="auto" w:sz="4" w:space="0"/>
            </w:tcBorders>
          </w:tcPr>
          <w:p w:rsidRPr="00C36A42" w:rsidR="00245AB6" w:rsidP="00C027B6" w:rsidRDefault="00BD0426" w14:paraId="3E6C2376" w14:textId="77777777">
            <w:pPr>
              <w:rPr>
                <w:rFonts w:cs="Arial"/>
                <w:sz w:val="22"/>
                <w:lang w:eastAsia="en-GB"/>
              </w:rPr>
            </w:pPr>
            <w:r w:rsidRPr="00C36A42">
              <w:rPr>
                <w:rFonts w:cs="Arial"/>
                <w:sz w:val="22"/>
                <w:lang w:eastAsia="en-GB"/>
              </w:rPr>
              <w:t xml:space="preserve">Summary details </w:t>
            </w:r>
            <w:r w:rsidRPr="00C36A42" w:rsidR="00245AB6">
              <w:rPr>
                <w:rFonts w:cs="Arial"/>
                <w:sz w:val="22"/>
                <w:lang w:eastAsia="en-GB"/>
              </w:rPr>
              <w:t xml:space="preserve">of any notices served in accordance with regulation 59E, including </w:t>
            </w:r>
          </w:p>
          <w:p w:rsidRPr="00C36A42" w:rsidR="00C027B6" w:rsidP="00C027B6" w:rsidRDefault="00245AB6" w14:paraId="2C2AA375" w14:textId="5190E348">
            <w:pPr>
              <w:rPr>
                <w:rFonts w:cs="Arial"/>
                <w:sz w:val="22"/>
                <w:lang w:eastAsia="en-GB"/>
              </w:rPr>
            </w:pPr>
            <w:r w:rsidRPr="00C36A42">
              <w:rPr>
                <w:rFonts w:cs="Arial"/>
                <w:sz w:val="22"/>
                <w:lang w:eastAsia="en-GB"/>
              </w:rPr>
              <w:t xml:space="preserve"> </w:t>
            </w: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C027B6" w14:paraId="7ACD84F6" w14:textId="6BDBAB63">
            <w:pPr>
              <w:rPr>
                <w:rFonts w:cs="Arial"/>
                <w:sz w:val="22"/>
                <w:lang w:eastAsia="en-GB"/>
              </w:rPr>
            </w:pPr>
          </w:p>
        </w:tc>
      </w:tr>
      <w:tr w:rsidRPr="00C36A42" w:rsidR="00CC2F8D" w:rsidTr="00C36A42" w14:paraId="4FD0ED41" w14:textId="77777777">
        <w:tc>
          <w:tcPr>
            <w:tcW w:w="1537" w:type="dxa"/>
            <w:tcBorders>
              <w:top w:val="single" w:color="auto" w:sz="4" w:space="0"/>
              <w:left w:val="single" w:color="auto" w:sz="4" w:space="0"/>
              <w:bottom w:val="single" w:color="auto" w:sz="4" w:space="0"/>
              <w:right w:val="single" w:color="auto" w:sz="4" w:space="0"/>
            </w:tcBorders>
          </w:tcPr>
          <w:p w:rsidRPr="00C36A42" w:rsidR="00CC2F8D" w:rsidP="00C027B6" w:rsidRDefault="00CC2F8D" w14:paraId="71C20AD4"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CC2F8D" w:rsidP="00BD0426" w:rsidRDefault="00245AB6" w14:paraId="249CA202" w14:textId="77777777">
            <w:pPr>
              <w:pStyle w:val="ListParagraph"/>
              <w:numPr>
                <w:ilvl w:val="0"/>
                <w:numId w:val="4"/>
              </w:numPr>
              <w:rPr>
                <w:rFonts w:cs="Arial"/>
                <w:sz w:val="22"/>
                <w:lang w:eastAsia="en-GB"/>
              </w:rPr>
            </w:pPr>
            <w:r w:rsidRPr="00C36A42">
              <w:rPr>
                <w:rFonts w:cs="Arial"/>
                <w:sz w:val="22"/>
                <w:lang w:eastAsia="en-GB"/>
              </w:rPr>
              <w:t xml:space="preserve">The total value of CIL receipts requested from each parish council </w:t>
            </w:r>
          </w:p>
          <w:p w:rsidRPr="00C36A42" w:rsidR="00245AB6" w:rsidP="00245AB6" w:rsidRDefault="00245AB6" w14:paraId="3C266771" w14:textId="527D1BB4">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C2F8D" w:rsidP="00C027B6" w:rsidRDefault="00651401" w14:paraId="285B40C7" w14:textId="2297D233">
            <w:pPr>
              <w:rPr>
                <w:rFonts w:cs="Arial"/>
                <w:sz w:val="22"/>
                <w:lang w:eastAsia="en-GB"/>
              </w:rPr>
            </w:pPr>
            <w:r w:rsidRPr="00C36A42">
              <w:rPr>
                <w:rFonts w:cs="Arial"/>
                <w:sz w:val="22"/>
                <w:lang w:eastAsia="en-GB"/>
              </w:rPr>
              <w:t>NIL</w:t>
            </w:r>
          </w:p>
        </w:tc>
      </w:tr>
      <w:tr w:rsidRPr="00C36A42" w:rsidR="00CC2F8D" w:rsidTr="00C36A42" w14:paraId="019362FF" w14:textId="77777777">
        <w:tc>
          <w:tcPr>
            <w:tcW w:w="1537" w:type="dxa"/>
            <w:tcBorders>
              <w:top w:val="single" w:color="auto" w:sz="4" w:space="0"/>
              <w:left w:val="single" w:color="auto" w:sz="4" w:space="0"/>
              <w:bottom w:val="single" w:color="auto" w:sz="4" w:space="0"/>
              <w:right w:val="single" w:color="auto" w:sz="4" w:space="0"/>
            </w:tcBorders>
          </w:tcPr>
          <w:p w:rsidRPr="00C36A42" w:rsidR="00CC2F8D" w:rsidP="00C027B6" w:rsidRDefault="00CC2F8D" w14:paraId="1D2AC416"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CC2F8D" w:rsidP="00BD0426" w:rsidRDefault="00245AB6" w14:paraId="22807786" w14:textId="77777777">
            <w:pPr>
              <w:pStyle w:val="ListParagraph"/>
              <w:numPr>
                <w:ilvl w:val="0"/>
                <w:numId w:val="4"/>
              </w:numPr>
              <w:rPr>
                <w:rFonts w:cs="Arial"/>
                <w:sz w:val="22"/>
                <w:lang w:eastAsia="en-GB"/>
              </w:rPr>
            </w:pPr>
            <w:r w:rsidRPr="00C36A42">
              <w:rPr>
                <w:rFonts w:cs="Arial"/>
                <w:sz w:val="22"/>
                <w:lang w:eastAsia="en-GB"/>
              </w:rPr>
              <w:t xml:space="preserve">Any funds not yet recovered from each parish council at the end of the reported year </w:t>
            </w:r>
          </w:p>
          <w:p w:rsidRPr="00C36A42" w:rsidR="00245AB6" w:rsidP="00245AB6" w:rsidRDefault="00245AB6" w14:paraId="0CB141EF" w14:textId="16645794">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C2F8D" w:rsidP="00C027B6" w:rsidRDefault="00651401" w14:paraId="073B1B4F" w14:textId="22555ADF">
            <w:pPr>
              <w:rPr>
                <w:rFonts w:cs="Arial"/>
                <w:sz w:val="22"/>
                <w:lang w:eastAsia="en-GB"/>
              </w:rPr>
            </w:pPr>
            <w:r w:rsidRPr="00C36A42">
              <w:rPr>
                <w:rFonts w:cs="Arial"/>
                <w:sz w:val="22"/>
                <w:lang w:eastAsia="en-GB"/>
              </w:rPr>
              <w:t>NIL</w:t>
            </w:r>
          </w:p>
        </w:tc>
      </w:tr>
      <w:tr w:rsidRPr="00C36A42" w:rsidR="00CC2F8D" w:rsidTr="00C36A42" w14:paraId="0CA8A8ED" w14:textId="77777777">
        <w:tc>
          <w:tcPr>
            <w:tcW w:w="1537" w:type="dxa"/>
            <w:tcBorders>
              <w:top w:val="single" w:color="auto" w:sz="4" w:space="0"/>
              <w:left w:val="single" w:color="auto" w:sz="4" w:space="0"/>
              <w:bottom w:val="single" w:color="auto" w:sz="4" w:space="0"/>
              <w:right w:val="single" w:color="auto" w:sz="4" w:space="0"/>
            </w:tcBorders>
          </w:tcPr>
          <w:p w:rsidRPr="00C36A42" w:rsidR="00CC2F8D" w:rsidP="00C027B6" w:rsidRDefault="006F6F61" w14:paraId="0E497415" w14:textId="6092E7C9">
            <w:pPr>
              <w:rPr>
                <w:rFonts w:cs="Arial"/>
                <w:sz w:val="22"/>
                <w:lang w:eastAsia="en-GB"/>
              </w:rPr>
            </w:pPr>
            <w:r w:rsidRPr="00C36A42">
              <w:rPr>
                <w:rFonts w:cs="Arial"/>
                <w:sz w:val="22"/>
                <w:lang w:eastAsia="en-GB"/>
              </w:rPr>
              <w:t>1 (l)</w:t>
            </w:r>
          </w:p>
        </w:tc>
        <w:tc>
          <w:tcPr>
            <w:tcW w:w="9124" w:type="dxa"/>
            <w:tcBorders>
              <w:top w:val="single" w:color="auto" w:sz="4" w:space="0"/>
              <w:left w:val="single" w:color="auto" w:sz="4" w:space="0"/>
              <w:bottom w:val="single" w:color="auto" w:sz="4" w:space="0"/>
              <w:right w:val="single" w:color="auto" w:sz="4" w:space="0"/>
            </w:tcBorders>
          </w:tcPr>
          <w:p w:rsidRPr="00C36A42" w:rsidR="006F6F61" w:rsidP="006F6F61" w:rsidRDefault="006F6F61" w14:paraId="4D48ECFA" w14:textId="77777777">
            <w:pPr>
              <w:rPr>
                <w:rFonts w:cs="Arial"/>
                <w:sz w:val="22"/>
                <w:lang w:eastAsia="en-GB"/>
              </w:rPr>
            </w:pPr>
            <w:r w:rsidRPr="00C36A42">
              <w:rPr>
                <w:rFonts w:cs="Arial"/>
                <w:sz w:val="22"/>
                <w:lang w:eastAsia="en-GB"/>
              </w:rPr>
              <w:t>The total amount of</w:t>
            </w:r>
            <w:r w:rsidRPr="00C36A42" w:rsidR="00245AB6">
              <w:rPr>
                <w:rFonts w:cs="Arial"/>
                <w:sz w:val="22"/>
                <w:lang w:eastAsia="en-GB"/>
              </w:rPr>
              <w:t>-</w:t>
            </w:r>
            <w:r w:rsidRPr="00C36A42">
              <w:rPr>
                <w:rFonts w:cs="Arial"/>
                <w:sz w:val="22"/>
                <w:lang w:eastAsia="en-GB"/>
              </w:rPr>
              <w:t xml:space="preserve"> </w:t>
            </w:r>
          </w:p>
          <w:p w:rsidRPr="00C36A42" w:rsidR="00651401" w:rsidP="006F6F61" w:rsidRDefault="00651401" w14:paraId="32F6F9E3" w14:textId="4BC485AC">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C2F8D" w:rsidP="00C027B6" w:rsidRDefault="00CC2F8D" w14:paraId="47DD378B" w14:textId="77777777">
            <w:pPr>
              <w:rPr>
                <w:rFonts w:cs="Arial"/>
                <w:sz w:val="22"/>
                <w:lang w:eastAsia="en-GB"/>
              </w:rPr>
            </w:pPr>
          </w:p>
        </w:tc>
      </w:tr>
      <w:tr w:rsidRPr="00C36A42" w:rsidR="006F6F61" w:rsidTr="00C36A42" w14:paraId="7575DE0F" w14:textId="77777777">
        <w:tc>
          <w:tcPr>
            <w:tcW w:w="1537" w:type="dxa"/>
            <w:tcBorders>
              <w:top w:val="single" w:color="auto" w:sz="4" w:space="0"/>
              <w:left w:val="single" w:color="auto" w:sz="4" w:space="0"/>
              <w:bottom w:val="single" w:color="auto" w:sz="4" w:space="0"/>
              <w:right w:val="single" w:color="auto" w:sz="4" w:space="0"/>
            </w:tcBorders>
          </w:tcPr>
          <w:p w:rsidRPr="00C36A42" w:rsidR="006F6F61" w:rsidP="00C027B6" w:rsidRDefault="006F6F61" w14:paraId="0602F4D4"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6F6F61" w:rsidP="006F6F61" w:rsidRDefault="006F6F61" w14:paraId="3B8E20BB" w14:textId="77777777">
            <w:pPr>
              <w:pStyle w:val="ListParagraph"/>
              <w:numPr>
                <w:ilvl w:val="0"/>
                <w:numId w:val="5"/>
              </w:numPr>
              <w:rPr>
                <w:rFonts w:cs="Arial"/>
                <w:sz w:val="22"/>
                <w:lang w:eastAsia="en-GB"/>
              </w:rPr>
            </w:pPr>
            <w:r w:rsidRPr="00C36A42">
              <w:rPr>
                <w:rFonts w:cs="Arial"/>
                <w:sz w:val="22"/>
                <w:lang w:eastAsia="en-GB"/>
              </w:rPr>
              <w:t xml:space="preserve"> </w:t>
            </w:r>
            <w:r w:rsidRPr="00C36A42" w:rsidR="00245AB6">
              <w:rPr>
                <w:rFonts w:cs="Arial"/>
                <w:sz w:val="22"/>
                <w:lang w:eastAsia="en-GB"/>
              </w:rPr>
              <w:t xml:space="preserve">CIL receipts for the reported year retained at the end of the reported year other than those to which regulation 59E or 59F applied </w:t>
            </w:r>
          </w:p>
          <w:p w:rsidRPr="00C36A42" w:rsidR="00245AB6" w:rsidP="00245AB6" w:rsidRDefault="00245AB6" w14:paraId="3A770FFB" w14:textId="3404E9E7">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6F6F61" w:rsidP="00C027B6" w:rsidRDefault="00651401" w14:paraId="04ACD50C" w14:textId="12C38661">
            <w:pPr>
              <w:rPr>
                <w:rFonts w:cs="Arial"/>
                <w:sz w:val="22"/>
                <w:lang w:eastAsia="en-GB"/>
              </w:rPr>
            </w:pPr>
            <w:r w:rsidRPr="00C36A42">
              <w:rPr>
                <w:rFonts w:cs="Arial"/>
                <w:sz w:val="22"/>
                <w:lang w:eastAsia="en-GB"/>
              </w:rPr>
              <w:t xml:space="preserve">NIL </w:t>
            </w:r>
          </w:p>
        </w:tc>
      </w:tr>
      <w:tr w:rsidRPr="00C36A42" w:rsidR="00BD0426" w:rsidTr="00C36A42" w14:paraId="4A446EB7" w14:textId="77777777">
        <w:tc>
          <w:tcPr>
            <w:tcW w:w="1537" w:type="dxa"/>
            <w:tcBorders>
              <w:top w:val="single" w:color="auto" w:sz="4" w:space="0"/>
              <w:left w:val="single" w:color="auto" w:sz="4" w:space="0"/>
              <w:bottom w:val="single" w:color="auto" w:sz="4" w:space="0"/>
              <w:right w:val="single" w:color="auto" w:sz="4" w:space="0"/>
            </w:tcBorders>
          </w:tcPr>
          <w:p w:rsidRPr="00C36A42" w:rsidR="00BD0426" w:rsidP="00C027B6" w:rsidRDefault="00BD0426" w14:paraId="4B500E96"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245AB6" w:rsidP="006F6F61" w:rsidRDefault="00245AB6" w14:paraId="04F46BCA" w14:textId="77777777">
            <w:pPr>
              <w:pStyle w:val="ListParagraph"/>
              <w:numPr>
                <w:ilvl w:val="0"/>
                <w:numId w:val="5"/>
              </w:numPr>
              <w:rPr>
                <w:rFonts w:cs="Arial"/>
                <w:sz w:val="22"/>
                <w:lang w:eastAsia="en-GB"/>
              </w:rPr>
            </w:pPr>
            <w:r w:rsidRPr="00C36A42">
              <w:rPr>
                <w:rFonts w:cs="Arial"/>
                <w:sz w:val="22"/>
                <w:lang w:eastAsia="en-GB"/>
              </w:rPr>
              <w:t xml:space="preserve">CIL receipts from previous years retained at the end of the reported year other than those to which regulation 59E or 59F applied </w:t>
            </w:r>
          </w:p>
          <w:p w:rsidRPr="00C36A42" w:rsidR="00BD0426" w:rsidP="00245AB6" w:rsidRDefault="00245AB6" w14:paraId="594C60AA" w14:textId="52042B0D">
            <w:pPr>
              <w:rPr>
                <w:rFonts w:cs="Arial"/>
                <w:sz w:val="22"/>
                <w:lang w:eastAsia="en-GB"/>
              </w:rPr>
            </w:pPr>
            <w:r w:rsidRPr="00C36A42">
              <w:rPr>
                <w:rFonts w:cs="Arial"/>
                <w:sz w:val="22"/>
                <w:lang w:eastAsia="en-GB"/>
              </w:rPr>
              <w:t xml:space="preserve">  </w:t>
            </w:r>
          </w:p>
        </w:tc>
        <w:tc>
          <w:tcPr>
            <w:tcW w:w="3118" w:type="dxa"/>
            <w:tcBorders>
              <w:top w:val="single" w:color="auto" w:sz="4" w:space="0"/>
              <w:left w:val="single" w:color="auto" w:sz="4" w:space="0"/>
              <w:bottom w:val="single" w:color="auto" w:sz="4" w:space="0"/>
              <w:right w:val="single" w:color="auto" w:sz="4" w:space="0"/>
            </w:tcBorders>
          </w:tcPr>
          <w:p w:rsidRPr="00C36A42" w:rsidR="00BD0426" w:rsidP="00C027B6" w:rsidRDefault="00651401" w14:paraId="6225413B" w14:textId="45AE5375">
            <w:pPr>
              <w:rPr>
                <w:rFonts w:cs="Arial"/>
                <w:sz w:val="22"/>
                <w:lang w:eastAsia="en-GB"/>
              </w:rPr>
            </w:pPr>
            <w:r w:rsidRPr="00C36A42">
              <w:rPr>
                <w:rFonts w:cs="Arial"/>
                <w:sz w:val="22"/>
                <w:lang w:eastAsia="en-GB"/>
              </w:rPr>
              <w:t>NIL</w:t>
            </w:r>
          </w:p>
        </w:tc>
      </w:tr>
      <w:tr w:rsidRPr="00C36A42" w:rsidR="006F6F61" w:rsidTr="00C36A42" w14:paraId="341A02C1" w14:textId="77777777">
        <w:tc>
          <w:tcPr>
            <w:tcW w:w="1537" w:type="dxa"/>
            <w:tcBorders>
              <w:top w:val="single" w:color="auto" w:sz="4" w:space="0"/>
              <w:left w:val="single" w:color="auto" w:sz="4" w:space="0"/>
              <w:bottom w:val="single" w:color="auto" w:sz="4" w:space="0"/>
              <w:right w:val="single" w:color="auto" w:sz="4" w:space="0"/>
            </w:tcBorders>
          </w:tcPr>
          <w:p w:rsidRPr="00C36A42" w:rsidR="006F6F61" w:rsidP="00C027B6" w:rsidRDefault="006F6F61" w14:paraId="18C826CD"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6F6F61" w:rsidP="006F6F61" w:rsidRDefault="00245AB6" w14:paraId="0E3D5063" w14:textId="77777777">
            <w:pPr>
              <w:pStyle w:val="ListParagraph"/>
              <w:numPr>
                <w:ilvl w:val="0"/>
                <w:numId w:val="5"/>
              </w:numPr>
              <w:rPr>
                <w:rFonts w:cs="Arial"/>
                <w:sz w:val="22"/>
                <w:lang w:eastAsia="en-GB"/>
              </w:rPr>
            </w:pPr>
            <w:r w:rsidRPr="00C36A42">
              <w:rPr>
                <w:rFonts w:cs="Arial"/>
                <w:sz w:val="22"/>
                <w:lang w:eastAsia="en-GB"/>
              </w:rPr>
              <w:t xml:space="preserve">CIL receipts for the reported year to which regulation 59E or 59F applied retained at the end of the reported year </w:t>
            </w:r>
          </w:p>
          <w:p w:rsidRPr="00C36A42" w:rsidR="00651401" w:rsidP="00651401" w:rsidRDefault="00651401" w14:paraId="518546E9" w14:textId="01B81654">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6F6F61" w:rsidP="00C027B6" w:rsidRDefault="00651401" w14:paraId="00FE3A94" w14:textId="6814B338">
            <w:pPr>
              <w:rPr>
                <w:rFonts w:cs="Arial"/>
                <w:sz w:val="22"/>
                <w:lang w:eastAsia="en-GB"/>
              </w:rPr>
            </w:pPr>
            <w:r w:rsidRPr="00C36A42">
              <w:rPr>
                <w:rFonts w:cs="Arial"/>
                <w:sz w:val="22"/>
                <w:lang w:eastAsia="en-GB"/>
              </w:rPr>
              <w:t>£367.97</w:t>
            </w:r>
          </w:p>
        </w:tc>
      </w:tr>
      <w:tr w:rsidRPr="00C36A42" w:rsidR="006F6F61" w:rsidTr="00C36A42" w14:paraId="6C6709FA" w14:textId="77777777">
        <w:tc>
          <w:tcPr>
            <w:tcW w:w="1537" w:type="dxa"/>
            <w:tcBorders>
              <w:top w:val="single" w:color="auto" w:sz="4" w:space="0"/>
              <w:left w:val="single" w:color="auto" w:sz="4" w:space="0"/>
              <w:bottom w:val="single" w:color="auto" w:sz="4" w:space="0"/>
              <w:right w:val="single" w:color="auto" w:sz="4" w:space="0"/>
            </w:tcBorders>
          </w:tcPr>
          <w:p w:rsidRPr="00C36A42" w:rsidR="006F6F61" w:rsidP="00C027B6" w:rsidRDefault="006F6F61" w14:paraId="64E8686D"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6F6F61" w:rsidP="006F6F61" w:rsidRDefault="00245AB6" w14:paraId="44AC5AE8" w14:textId="77777777">
            <w:pPr>
              <w:pStyle w:val="ListParagraph"/>
              <w:numPr>
                <w:ilvl w:val="0"/>
                <w:numId w:val="5"/>
              </w:numPr>
              <w:rPr>
                <w:rFonts w:cs="Arial"/>
                <w:sz w:val="22"/>
                <w:lang w:eastAsia="en-GB"/>
              </w:rPr>
            </w:pPr>
            <w:r w:rsidRPr="00C36A42">
              <w:rPr>
                <w:rFonts w:cs="Arial"/>
                <w:sz w:val="22"/>
                <w:lang w:eastAsia="en-GB"/>
              </w:rPr>
              <w:t xml:space="preserve">CIL receipts from previous years to which regulation </w:t>
            </w:r>
            <w:r w:rsidRPr="00C36A42" w:rsidR="00651401">
              <w:rPr>
                <w:rFonts w:cs="Arial"/>
                <w:sz w:val="22"/>
                <w:lang w:eastAsia="en-GB"/>
              </w:rPr>
              <w:t xml:space="preserve">59E or 59F applied retained at the end of the reported year </w:t>
            </w:r>
          </w:p>
          <w:p w:rsidRPr="00C36A42" w:rsidR="00651401" w:rsidP="00651401" w:rsidRDefault="00651401" w14:paraId="42FAF96C" w14:textId="7539C7A1">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6F6F61" w:rsidP="00C027B6" w:rsidRDefault="00651401" w14:paraId="313F81E5" w14:textId="34D27834">
            <w:pPr>
              <w:rPr>
                <w:rFonts w:cs="Arial"/>
                <w:sz w:val="22"/>
                <w:lang w:eastAsia="en-GB"/>
              </w:rPr>
            </w:pPr>
            <w:r w:rsidRPr="00C36A42">
              <w:rPr>
                <w:rFonts w:cs="Arial"/>
                <w:sz w:val="22"/>
                <w:lang w:eastAsia="en-GB"/>
              </w:rPr>
              <w:t>£5,457.21</w:t>
            </w:r>
          </w:p>
        </w:tc>
      </w:tr>
    </w:tbl>
    <w:p w:rsidRPr="00C36A42" w:rsidR="00651401" w:rsidP="00C027B6" w:rsidRDefault="00651401" w14:paraId="072020BC" w14:textId="1EBD4E0B">
      <w:pPr>
        <w:spacing w:after="0" w:line="240" w:lineRule="auto"/>
        <w:rPr>
          <w:rFonts w:ascii="Arial" w:hAnsi="Arial" w:eastAsia="Times New Roman" w:cs="Arial"/>
          <w:b/>
          <w:u w:val="single"/>
          <w:lang w:eastAsia="en-GB"/>
        </w:rPr>
      </w:pPr>
    </w:p>
    <w:p w:rsidRPr="00C36A42" w:rsidR="00063A1E" w:rsidP="00C027B6" w:rsidRDefault="00063A1E" w14:paraId="5F67B59D" w14:textId="28AF3C07">
      <w:pPr>
        <w:spacing w:after="0" w:line="240" w:lineRule="auto"/>
        <w:rPr>
          <w:rFonts w:ascii="Arial" w:hAnsi="Arial" w:eastAsia="Times New Roman" w:cs="Arial"/>
          <w:b/>
          <w:u w:val="single"/>
          <w:lang w:eastAsia="en-GB"/>
        </w:rPr>
      </w:pPr>
    </w:p>
    <w:p w:rsidRPr="00C36A42" w:rsidR="00063A1E" w:rsidP="00C027B6" w:rsidRDefault="00063A1E" w14:paraId="48E1BABC" w14:textId="77777777">
      <w:pPr>
        <w:spacing w:after="0" w:line="240" w:lineRule="auto"/>
        <w:rPr>
          <w:rFonts w:ascii="Arial" w:hAnsi="Arial" w:eastAsia="Times New Roman" w:cs="Arial"/>
          <w:b/>
          <w:u w:val="single"/>
          <w:lang w:eastAsia="en-GB"/>
        </w:rPr>
      </w:pPr>
    </w:p>
    <w:p w:rsidRPr="00C36A42" w:rsidR="00164C21" w:rsidP="00C027B6" w:rsidRDefault="00164C21" w14:paraId="4DF92CE8" w14:textId="6B3CAFD9">
      <w:pPr>
        <w:spacing w:after="0" w:line="240" w:lineRule="auto"/>
        <w:rPr>
          <w:rFonts w:ascii="Arial" w:hAnsi="Arial" w:eastAsia="Times New Roman" w:cs="Arial"/>
          <w:b/>
          <w:u w:val="single"/>
          <w:lang w:eastAsia="en-GB"/>
        </w:rPr>
      </w:pPr>
    </w:p>
    <w:p w:rsidRPr="00C36A42" w:rsidR="00164C21" w:rsidP="00164C21" w:rsidRDefault="00164C21" w14:paraId="3AC30551" w14:textId="77777777">
      <w:pPr>
        <w:spacing w:after="0" w:line="240" w:lineRule="auto"/>
        <w:rPr>
          <w:rFonts w:ascii="Arial" w:hAnsi="Arial" w:eastAsia="Times New Roman" w:cs="Arial"/>
          <w:lang w:eastAsia="en-GB"/>
        </w:rPr>
      </w:pPr>
      <w:r w:rsidRPr="00C36A42">
        <w:rPr>
          <w:rFonts w:ascii="Arial" w:hAnsi="Arial" w:eastAsia="Times New Roman" w:cs="Arial"/>
          <w:lang w:eastAsia="en-GB"/>
        </w:rPr>
        <w:t>CIL Payments received and allocated for Financial year 1</w:t>
      </w:r>
      <w:r w:rsidRPr="00C36A42">
        <w:rPr>
          <w:rFonts w:ascii="Arial" w:hAnsi="Arial" w:eastAsia="Times New Roman" w:cs="Arial"/>
          <w:vertAlign w:val="superscript"/>
          <w:lang w:eastAsia="en-GB"/>
        </w:rPr>
        <w:t>st</w:t>
      </w:r>
      <w:r w:rsidRPr="00C36A42">
        <w:rPr>
          <w:rFonts w:ascii="Arial" w:hAnsi="Arial" w:eastAsia="Times New Roman" w:cs="Arial"/>
          <w:lang w:eastAsia="en-GB"/>
        </w:rPr>
        <w:t xml:space="preserve"> April 2019 – 31</w:t>
      </w:r>
      <w:r w:rsidRPr="00C36A42">
        <w:rPr>
          <w:rFonts w:ascii="Arial" w:hAnsi="Arial" w:eastAsia="Times New Roman" w:cs="Arial"/>
          <w:vertAlign w:val="superscript"/>
          <w:lang w:eastAsia="en-GB"/>
        </w:rPr>
        <w:t>st</w:t>
      </w:r>
      <w:r w:rsidRPr="00C36A42">
        <w:rPr>
          <w:rFonts w:ascii="Arial" w:hAnsi="Arial" w:eastAsia="Times New Roman" w:cs="Arial"/>
          <w:lang w:eastAsia="en-GB"/>
        </w:rPr>
        <w:t xml:space="preserve"> March 2020 </w:t>
      </w:r>
    </w:p>
    <w:p w:rsidRPr="00C36A42" w:rsidR="00164C21" w:rsidP="00164C21" w:rsidRDefault="00164C21" w14:paraId="66AFB4DD" w14:textId="77777777">
      <w:pPr>
        <w:spacing w:after="0" w:line="240" w:lineRule="auto"/>
        <w:rPr>
          <w:rFonts w:ascii="Arial" w:hAnsi="Arial" w:eastAsia="Times New Roman" w:cs="Arial"/>
          <w:lang w:eastAsia="en-GB"/>
        </w:rPr>
      </w:pPr>
    </w:p>
    <w:tbl>
      <w:tblPr>
        <w:tblW w:w="12577" w:type="dxa"/>
        <w:tblInd w:w="-147" w:type="dxa"/>
        <w:tblLook w:val="04A0" w:firstRow="1" w:lastRow="0" w:firstColumn="1" w:lastColumn="0" w:noHBand="0" w:noVBand="1"/>
      </w:tblPr>
      <w:tblGrid>
        <w:gridCol w:w="2607"/>
        <w:gridCol w:w="1660"/>
        <w:gridCol w:w="1623"/>
        <w:gridCol w:w="1598"/>
        <w:gridCol w:w="1440"/>
        <w:gridCol w:w="1440"/>
        <w:gridCol w:w="1320"/>
        <w:gridCol w:w="1623"/>
      </w:tblGrid>
      <w:tr w:rsidRPr="00C36A42" w:rsidR="00164C21" w:rsidTr="00164C21" w14:paraId="78698903" w14:textId="77777777">
        <w:trPr>
          <w:trHeight w:val="300"/>
        </w:trPr>
        <w:tc>
          <w:tcPr>
            <w:tcW w:w="2607" w:type="dxa"/>
            <w:vMerge w:val="restart"/>
            <w:tcBorders>
              <w:top w:val="single" w:color="auto" w:sz="4" w:space="0"/>
              <w:left w:val="single" w:color="auto" w:sz="4" w:space="0"/>
              <w:bottom w:val="single" w:color="000000" w:sz="4" w:space="0"/>
              <w:right w:val="single" w:color="auto" w:sz="4" w:space="0"/>
            </w:tcBorders>
            <w:shd w:val="clear" w:color="auto" w:fill="auto"/>
            <w:vAlign w:val="center"/>
            <w:hideMark/>
          </w:tcPr>
          <w:p w:rsidRPr="00C36A42" w:rsidR="00164C21" w:rsidP="00164C21" w:rsidRDefault="00164C21" w14:paraId="0DFCB09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Parish</w:t>
            </w:r>
          </w:p>
        </w:tc>
        <w:tc>
          <w:tcPr>
            <w:tcW w:w="1660" w:type="dxa"/>
            <w:vMerge w:val="restart"/>
            <w:tcBorders>
              <w:top w:val="single" w:color="auto" w:sz="4" w:space="0"/>
              <w:left w:val="single" w:color="auto" w:sz="4" w:space="0"/>
              <w:bottom w:val="single" w:color="000000" w:sz="4" w:space="0"/>
              <w:right w:val="single" w:color="auto" w:sz="4" w:space="0"/>
            </w:tcBorders>
            <w:shd w:val="clear" w:color="auto" w:fill="auto"/>
            <w:vAlign w:val="center"/>
            <w:hideMark/>
          </w:tcPr>
          <w:p w:rsidRPr="00C36A42" w:rsidR="00164C21" w:rsidP="00164C21" w:rsidRDefault="00164C21" w14:paraId="320E7C8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Planning No</w:t>
            </w:r>
          </w:p>
        </w:tc>
        <w:tc>
          <w:tcPr>
            <w:tcW w:w="1500" w:type="dxa"/>
            <w:vMerge w:val="restart"/>
            <w:tcBorders>
              <w:top w:val="single" w:color="auto" w:sz="4" w:space="0"/>
              <w:left w:val="single" w:color="auto" w:sz="4" w:space="0"/>
              <w:bottom w:val="single" w:color="000000" w:sz="4" w:space="0"/>
              <w:right w:val="single" w:color="auto" w:sz="4" w:space="0"/>
            </w:tcBorders>
            <w:shd w:val="clear" w:color="auto" w:fill="auto"/>
            <w:vAlign w:val="center"/>
            <w:hideMark/>
          </w:tcPr>
          <w:p w:rsidRPr="00C36A42" w:rsidR="00164C21" w:rsidP="00164C21" w:rsidRDefault="00164C21" w14:paraId="70CAFB7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Gross Amount</w:t>
            </w:r>
          </w:p>
        </w:tc>
        <w:tc>
          <w:tcPr>
            <w:tcW w:w="1330" w:type="dxa"/>
            <w:tcBorders>
              <w:top w:val="single" w:color="auto" w:sz="4" w:space="0"/>
              <w:left w:val="nil"/>
              <w:bottom w:val="single" w:color="auto" w:sz="4" w:space="0"/>
              <w:right w:val="single" w:color="auto" w:sz="4" w:space="0"/>
            </w:tcBorders>
            <w:shd w:val="clear" w:color="auto" w:fill="auto"/>
            <w:noWrap/>
            <w:vAlign w:val="bottom"/>
            <w:hideMark/>
          </w:tcPr>
          <w:p w:rsidRPr="00C36A42" w:rsidR="00164C21" w:rsidP="00164C21" w:rsidRDefault="00164C21" w14:paraId="361DCA37" w14:textId="298D214A">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Admin</w:t>
            </w:r>
            <w:r w:rsidRPr="00C36A42" w:rsidR="003D63CE">
              <w:rPr>
                <w:rFonts w:ascii="Arial" w:hAnsi="Arial" w:eastAsia="Times New Roman" w:cs="Arial"/>
                <w:color w:val="000000"/>
                <w:lang w:eastAsia="en-GB"/>
              </w:rPr>
              <w:t>istrative expenses</w:t>
            </w:r>
          </w:p>
        </w:tc>
        <w:tc>
          <w:tcPr>
            <w:tcW w:w="2660" w:type="dxa"/>
            <w:gridSpan w:val="2"/>
            <w:tcBorders>
              <w:top w:val="single" w:color="auto" w:sz="4" w:space="0"/>
              <w:left w:val="nil"/>
              <w:bottom w:val="single" w:color="auto" w:sz="4" w:space="0"/>
              <w:right w:val="single" w:color="auto" w:sz="4" w:space="0"/>
            </w:tcBorders>
            <w:shd w:val="clear" w:color="auto" w:fill="auto"/>
            <w:noWrap/>
            <w:vAlign w:val="bottom"/>
            <w:hideMark/>
          </w:tcPr>
          <w:p w:rsidRPr="00C36A42" w:rsidR="00164C21" w:rsidP="00164C21" w:rsidRDefault="003D63CE" w14:paraId="2FE36CA2" w14:textId="60E3135A">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xml:space="preserve">Allocated to </w:t>
            </w:r>
            <w:r w:rsidRPr="00C36A42" w:rsidR="00164C21">
              <w:rPr>
                <w:rFonts w:ascii="Arial" w:hAnsi="Arial" w:eastAsia="Times New Roman" w:cs="Arial"/>
                <w:color w:val="000000"/>
                <w:lang w:eastAsia="en-GB"/>
              </w:rPr>
              <w:t>Parish / Town</w:t>
            </w:r>
            <w:r w:rsidRPr="00C36A42">
              <w:rPr>
                <w:rFonts w:ascii="Arial" w:hAnsi="Arial" w:eastAsia="Times New Roman" w:cs="Arial"/>
                <w:color w:val="000000"/>
                <w:lang w:eastAsia="en-GB"/>
              </w:rPr>
              <w:t xml:space="preserve"> Council </w:t>
            </w:r>
          </w:p>
        </w:tc>
        <w:tc>
          <w:tcPr>
            <w:tcW w:w="1320" w:type="dxa"/>
            <w:vMerge w:val="restart"/>
            <w:tcBorders>
              <w:top w:val="single" w:color="auto" w:sz="4" w:space="0"/>
              <w:left w:val="single" w:color="auto" w:sz="4" w:space="0"/>
              <w:bottom w:val="single" w:color="000000" w:sz="4" w:space="0"/>
              <w:right w:val="single" w:color="auto" w:sz="4" w:space="0"/>
            </w:tcBorders>
            <w:shd w:val="clear" w:color="auto" w:fill="auto"/>
            <w:vAlign w:val="bottom"/>
            <w:hideMark/>
          </w:tcPr>
          <w:p w:rsidRPr="00C36A42" w:rsidR="00164C21" w:rsidP="00164C21" w:rsidRDefault="00164C21" w14:paraId="42CB55B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xml:space="preserve">Amount retained under reg 59F </w:t>
            </w:r>
          </w:p>
        </w:tc>
        <w:tc>
          <w:tcPr>
            <w:tcW w:w="1500" w:type="dxa"/>
            <w:vMerge w:val="restart"/>
            <w:tcBorders>
              <w:top w:val="single" w:color="auto" w:sz="4" w:space="0"/>
              <w:left w:val="single" w:color="auto" w:sz="4" w:space="0"/>
              <w:bottom w:val="single" w:color="000000" w:sz="4" w:space="0"/>
              <w:right w:val="single" w:color="auto" w:sz="4" w:space="0"/>
            </w:tcBorders>
            <w:shd w:val="clear" w:color="auto" w:fill="auto"/>
            <w:vAlign w:val="bottom"/>
            <w:hideMark/>
          </w:tcPr>
          <w:p w:rsidRPr="00C36A42" w:rsidR="00164C21" w:rsidP="00164C21" w:rsidRDefault="00164C21" w14:paraId="0DA4700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Amount allocated to GNGB</w:t>
            </w:r>
          </w:p>
        </w:tc>
      </w:tr>
      <w:tr w:rsidRPr="00C36A42" w:rsidR="00164C21" w:rsidTr="00164C21" w14:paraId="10992E5A" w14:textId="77777777">
        <w:trPr>
          <w:trHeight w:val="300"/>
        </w:trPr>
        <w:tc>
          <w:tcPr>
            <w:tcW w:w="2607" w:type="dxa"/>
            <w:vMerge/>
            <w:tcBorders>
              <w:top w:val="single" w:color="auto" w:sz="4" w:space="0"/>
              <w:left w:val="single" w:color="auto" w:sz="4" w:space="0"/>
              <w:bottom w:val="single" w:color="000000" w:sz="4" w:space="0"/>
              <w:right w:val="single" w:color="auto" w:sz="4" w:space="0"/>
            </w:tcBorders>
            <w:vAlign w:val="center"/>
            <w:hideMark/>
          </w:tcPr>
          <w:p w:rsidRPr="00C36A42" w:rsidR="00164C21" w:rsidP="00164C21" w:rsidRDefault="00164C21" w14:paraId="03BA3034" w14:textId="77777777">
            <w:pPr>
              <w:spacing w:after="0" w:line="240" w:lineRule="auto"/>
              <w:rPr>
                <w:rFonts w:ascii="Arial" w:hAnsi="Arial" w:eastAsia="Times New Roman" w:cs="Arial"/>
                <w:color w:val="000000"/>
                <w:lang w:eastAsia="en-GB"/>
              </w:rPr>
            </w:pPr>
          </w:p>
        </w:tc>
        <w:tc>
          <w:tcPr>
            <w:tcW w:w="1660" w:type="dxa"/>
            <w:vMerge/>
            <w:tcBorders>
              <w:top w:val="single" w:color="auto" w:sz="4" w:space="0"/>
              <w:left w:val="single" w:color="auto" w:sz="4" w:space="0"/>
              <w:bottom w:val="single" w:color="000000" w:sz="4" w:space="0"/>
              <w:right w:val="single" w:color="auto" w:sz="4" w:space="0"/>
            </w:tcBorders>
            <w:vAlign w:val="center"/>
            <w:hideMark/>
          </w:tcPr>
          <w:p w:rsidRPr="00C36A42" w:rsidR="00164C21" w:rsidP="00164C21" w:rsidRDefault="00164C21" w14:paraId="18D7F4F6" w14:textId="77777777">
            <w:pPr>
              <w:spacing w:after="0" w:line="240" w:lineRule="auto"/>
              <w:rPr>
                <w:rFonts w:ascii="Arial" w:hAnsi="Arial" w:eastAsia="Times New Roman" w:cs="Arial"/>
                <w:color w:val="000000"/>
                <w:lang w:eastAsia="en-GB"/>
              </w:rPr>
            </w:pPr>
          </w:p>
        </w:tc>
        <w:tc>
          <w:tcPr>
            <w:tcW w:w="1500" w:type="dxa"/>
            <w:vMerge/>
            <w:tcBorders>
              <w:top w:val="single" w:color="auto" w:sz="4" w:space="0"/>
              <w:left w:val="single" w:color="auto" w:sz="4" w:space="0"/>
              <w:bottom w:val="single" w:color="000000" w:sz="4" w:space="0"/>
              <w:right w:val="single" w:color="auto" w:sz="4" w:space="0"/>
            </w:tcBorders>
            <w:vAlign w:val="center"/>
            <w:hideMark/>
          </w:tcPr>
          <w:p w:rsidRPr="00C36A42" w:rsidR="00164C21" w:rsidP="00164C21" w:rsidRDefault="00164C21" w14:paraId="2FDD5271" w14:textId="77777777">
            <w:pPr>
              <w:spacing w:after="0" w:line="240" w:lineRule="auto"/>
              <w:rPr>
                <w:rFonts w:ascii="Arial" w:hAnsi="Arial" w:eastAsia="Times New Roman" w:cs="Arial"/>
                <w:color w:val="000000"/>
                <w:lang w:eastAsia="en-GB"/>
              </w:rPr>
            </w:pP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8B0810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653E54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B8FC3E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25%</w:t>
            </w:r>
          </w:p>
        </w:tc>
        <w:tc>
          <w:tcPr>
            <w:tcW w:w="1320" w:type="dxa"/>
            <w:vMerge/>
            <w:tcBorders>
              <w:top w:val="single" w:color="auto" w:sz="4" w:space="0"/>
              <w:left w:val="single" w:color="auto" w:sz="4" w:space="0"/>
              <w:bottom w:val="single" w:color="000000" w:sz="4" w:space="0"/>
              <w:right w:val="single" w:color="auto" w:sz="4" w:space="0"/>
            </w:tcBorders>
            <w:vAlign w:val="center"/>
            <w:hideMark/>
          </w:tcPr>
          <w:p w:rsidRPr="00C36A42" w:rsidR="00164C21" w:rsidP="00164C21" w:rsidRDefault="00164C21" w14:paraId="355BA9CC" w14:textId="77777777">
            <w:pPr>
              <w:spacing w:after="0" w:line="240" w:lineRule="auto"/>
              <w:rPr>
                <w:rFonts w:ascii="Arial" w:hAnsi="Arial" w:eastAsia="Times New Roman" w:cs="Arial"/>
                <w:color w:val="000000"/>
                <w:lang w:eastAsia="en-GB"/>
              </w:rPr>
            </w:pPr>
          </w:p>
        </w:tc>
        <w:tc>
          <w:tcPr>
            <w:tcW w:w="1500" w:type="dxa"/>
            <w:vMerge/>
            <w:tcBorders>
              <w:top w:val="single" w:color="auto" w:sz="4" w:space="0"/>
              <w:left w:val="single" w:color="auto" w:sz="4" w:space="0"/>
              <w:bottom w:val="single" w:color="000000" w:sz="4" w:space="0"/>
              <w:right w:val="single" w:color="auto" w:sz="4" w:space="0"/>
            </w:tcBorders>
            <w:vAlign w:val="center"/>
            <w:hideMark/>
          </w:tcPr>
          <w:p w:rsidRPr="00C36A42" w:rsidR="00164C21" w:rsidP="00164C21" w:rsidRDefault="00164C21" w14:paraId="188DBD05" w14:textId="77777777">
            <w:pPr>
              <w:spacing w:after="0" w:line="240" w:lineRule="auto"/>
              <w:rPr>
                <w:rFonts w:ascii="Arial" w:hAnsi="Arial" w:eastAsia="Times New Roman" w:cs="Arial"/>
                <w:color w:val="000000"/>
                <w:lang w:eastAsia="en-GB"/>
              </w:rPr>
            </w:pPr>
          </w:p>
        </w:tc>
      </w:tr>
      <w:tr w:rsidRPr="00C36A42" w:rsidR="00164C21" w:rsidTr="00164C21" w14:paraId="16122BE0"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5F93FBC0"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Ashby St Mary</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B2DD26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2017/2583</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7EDE1E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£19,612.03</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C0154D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£980.60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A2136E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£2,941.80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743A0C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87C6F07"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8BC2CD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£15,689.63</w:t>
            </w:r>
          </w:p>
        </w:tc>
      </w:tr>
      <w:tr w:rsidRPr="00C36A42" w:rsidR="00164C21" w:rsidTr="00164C21" w14:paraId="784913C4"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5229E114" w14:textId="77777777">
            <w:pPr>
              <w:spacing w:after="0" w:line="240" w:lineRule="auto"/>
              <w:rPr>
                <w:rFonts w:ascii="Arial" w:hAnsi="Arial" w:eastAsia="Times New Roman" w:cs="Arial"/>
                <w:color w:val="000000"/>
                <w:lang w:eastAsia="en-GB"/>
              </w:rPr>
            </w:pPr>
            <w:proofErr w:type="spellStart"/>
            <w:r w:rsidRPr="00C36A42">
              <w:rPr>
                <w:rFonts w:ascii="Arial" w:hAnsi="Arial" w:eastAsia="Times New Roman" w:cs="Arial"/>
                <w:color w:val="000000"/>
                <w:lang w:eastAsia="en-GB"/>
              </w:rPr>
              <w:t>Ashwellthorpe</w:t>
            </w:r>
            <w:proofErr w:type="spellEnd"/>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BAC98A7"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2018/1331</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769171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£24,564.56</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5A7675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£1,228.23</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234E90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£3,684.68</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2DC524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94DA2E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26F061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£19,651.65</w:t>
            </w:r>
          </w:p>
        </w:tc>
      </w:tr>
      <w:tr w:rsidRPr="00C36A42" w:rsidR="00164C21" w:rsidTr="00164C21" w14:paraId="1B4E309A"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268832A1" w14:textId="77777777">
            <w:pPr>
              <w:spacing w:after="0" w:line="240" w:lineRule="auto"/>
              <w:rPr>
                <w:rFonts w:ascii="Arial" w:hAnsi="Arial" w:eastAsia="Times New Roman" w:cs="Arial"/>
                <w:color w:val="000000"/>
                <w:lang w:eastAsia="en-GB"/>
              </w:rPr>
            </w:pPr>
            <w:proofErr w:type="spellStart"/>
            <w:r w:rsidRPr="00C36A42">
              <w:rPr>
                <w:rFonts w:ascii="Arial" w:hAnsi="Arial" w:eastAsia="Times New Roman" w:cs="Arial"/>
                <w:color w:val="000000"/>
                <w:lang w:eastAsia="en-GB"/>
              </w:rPr>
              <w:t>Aslacton</w:t>
            </w:r>
            <w:proofErr w:type="spellEnd"/>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20B0E9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2016/2498</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D3BE1B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£1,098.31</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D4E228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£54.92</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98FB67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£164.75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956CA4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19A7BE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E9027A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£878.64</w:t>
            </w:r>
          </w:p>
        </w:tc>
      </w:tr>
      <w:tr w:rsidRPr="00C36A42" w:rsidR="00164C21" w:rsidTr="00164C21" w14:paraId="0F50FC83"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21AB3763" w14:textId="77777777">
            <w:pPr>
              <w:spacing w:after="0" w:line="240" w:lineRule="auto"/>
              <w:rPr>
                <w:rFonts w:ascii="Arial" w:hAnsi="Arial" w:eastAsia="Times New Roman" w:cs="Arial"/>
                <w:lang w:eastAsia="en-GB"/>
              </w:rPr>
            </w:pPr>
            <w:proofErr w:type="spellStart"/>
            <w:r w:rsidRPr="00C36A42">
              <w:rPr>
                <w:rFonts w:ascii="Arial" w:hAnsi="Arial" w:eastAsia="Times New Roman" w:cs="Arial"/>
                <w:lang w:eastAsia="en-GB"/>
              </w:rPr>
              <w:t>Bedingham</w:t>
            </w:r>
            <w:proofErr w:type="spellEnd"/>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0788BF9" w14:textId="77777777">
            <w:pPr>
              <w:spacing w:after="0" w:line="240" w:lineRule="auto"/>
              <w:jc w:val="center"/>
              <w:rPr>
                <w:rFonts w:ascii="Arial" w:hAnsi="Arial" w:eastAsia="Times New Roman" w:cs="Arial"/>
                <w:lang w:eastAsia="en-GB"/>
              </w:rPr>
            </w:pPr>
            <w:r w:rsidRPr="00C36A42">
              <w:rPr>
                <w:rFonts w:ascii="Arial" w:hAnsi="Arial" w:eastAsia="Times New Roman" w:cs="Arial"/>
                <w:lang w:eastAsia="en-GB"/>
              </w:rPr>
              <w:t>2019/0550</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B9E97B9" w14:textId="77777777">
            <w:pPr>
              <w:spacing w:after="0" w:line="240" w:lineRule="auto"/>
              <w:jc w:val="center"/>
              <w:rPr>
                <w:rFonts w:ascii="Arial" w:hAnsi="Arial" w:eastAsia="Times New Roman" w:cs="Arial"/>
                <w:lang w:eastAsia="en-GB"/>
              </w:rPr>
            </w:pPr>
            <w:r w:rsidRPr="00C36A42">
              <w:rPr>
                <w:rFonts w:ascii="Arial" w:hAnsi="Arial" w:eastAsia="Times New Roman" w:cs="Arial"/>
                <w:lang w:eastAsia="en-GB"/>
              </w:rPr>
              <w:t>£2,368.23</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E2F88A5" w14:textId="77777777">
            <w:pPr>
              <w:spacing w:after="0" w:line="240" w:lineRule="auto"/>
              <w:jc w:val="center"/>
              <w:rPr>
                <w:rFonts w:ascii="Arial" w:hAnsi="Arial" w:eastAsia="Times New Roman" w:cs="Arial"/>
                <w:lang w:eastAsia="en-GB"/>
              </w:rPr>
            </w:pPr>
            <w:r w:rsidRPr="00C36A42">
              <w:rPr>
                <w:rFonts w:ascii="Arial" w:hAnsi="Arial" w:eastAsia="Times New Roman" w:cs="Arial"/>
                <w:lang w:eastAsia="en-GB"/>
              </w:rPr>
              <w:t>£118.41</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09A0645" w14:textId="77777777">
            <w:pPr>
              <w:spacing w:after="0" w:line="240" w:lineRule="auto"/>
              <w:jc w:val="center"/>
              <w:rPr>
                <w:rFonts w:ascii="Arial" w:hAnsi="Arial" w:eastAsia="Times New Roman" w:cs="Arial"/>
                <w:lang w:eastAsia="en-GB"/>
              </w:rPr>
            </w:pPr>
            <w:r w:rsidRPr="00C36A42">
              <w:rPr>
                <w:rFonts w:ascii="Arial" w:hAnsi="Arial" w:eastAsia="Times New Roman" w:cs="Arial"/>
                <w:lang w:eastAsia="en-GB"/>
              </w:rPr>
              <w:t> </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FEF6738" w14:textId="77777777">
            <w:pPr>
              <w:spacing w:after="0" w:line="240" w:lineRule="auto"/>
              <w:jc w:val="center"/>
              <w:rPr>
                <w:rFonts w:ascii="Arial" w:hAnsi="Arial" w:eastAsia="Times New Roman" w:cs="Arial"/>
                <w:lang w:eastAsia="en-GB"/>
              </w:rPr>
            </w:pPr>
            <w:r w:rsidRPr="00C36A42">
              <w:rPr>
                <w:rFonts w:ascii="Arial" w:hAnsi="Arial" w:eastAsia="Times New Roman" w:cs="Arial"/>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E57CD99" w14:textId="77777777">
            <w:pPr>
              <w:spacing w:after="0" w:line="240" w:lineRule="auto"/>
              <w:jc w:val="center"/>
              <w:rPr>
                <w:rFonts w:ascii="Arial" w:hAnsi="Arial" w:eastAsia="Times New Roman" w:cs="Arial"/>
                <w:lang w:eastAsia="en-GB"/>
              </w:rPr>
            </w:pPr>
            <w:r w:rsidRPr="00C36A42">
              <w:rPr>
                <w:rFonts w:ascii="Arial" w:hAnsi="Arial" w:eastAsia="Times New Roman" w:cs="Arial"/>
                <w:lang w:eastAsia="en-GB"/>
              </w:rPr>
              <w:t>£355.23</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97742F9" w14:textId="77777777">
            <w:pPr>
              <w:spacing w:after="0" w:line="240" w:lineRule="auto"/>
              <w:jc w:val="center"/>
              <w:rPr>
                <w:rFonts w:ascii="Arial" w:hAnsi="Arial" w:eastAsia="Times New Roman" w:cs="Arial"/>
                <w:lang w:eastAsia="en-GB"/>
              </w:rPr>
            </w:pPr>
            <w:r w:rsidRPr="00C36A42">
              <w:rPr>
                <w:rFonts w:ascii="Arial" w:hAnsi="Arial" w:eastAsia="Times New Roman" w:cs="Arial"/>
                <w:lang w:eastAsia="en-GB"/>
              </w:rPr>
              <w:t>£1,894.59</w:t>
            </w:r>
          </w:p>
        </w:tc>
      </w:tr>
      <w:tr w:rsidRPr="00C36A42" w:rsidR="00164C21" w:rsidTr="00164C21" w14:paraId="0631E121"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30F3EDF4"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 xml:space="preserve">Bergh </w:t>
            </w:r>
            <w:proofErr w:type="spellStart"/>
            <w:r w:rsidRPr="00C36A42">
              <w:rPr>
                <w:rFonts w:ascii="Arial" w:hAnsi="Arial" w:eastAsia="Times New Roman" w:cs="Arial"/>
                <w:color w:val="000000"/>
                <w:lang w:eastAsia="en-GB"/>
              </w:rPr>
              <w:t>Apton</w:t>
            </w:r>
            <w:proofErr w:type="spellEnd"/>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8FC849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2018/0118</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A77F56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£2,139.49</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70ECBC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£106.97</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DAD980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£320.92</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7AEC1A7"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647ED9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073D15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£1,711.60</w:t>
            </w:r>
          </w:p>
        </w:tc>
      </w:tr>
      <w:tr w:rsidRPr="00C36A42" w:rsidR="00164C21" w:rsidTr="00164C21" w14:paraId="28C2A5E1"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42965427"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 xml:space="preserve">Bergh </w:t>
            </w:r>
            <w:proofErr w:type="spellStart"/>
            <w:r w:rsidRPr="00C36A42">
              <w:rPr>
                <w:rFonts w:ascii="Arial" w:hAnsi="Arial" w:eastAsia="Times New Roman" w:cs="Arial"/>
                <w:color w:val="000000"/>
                <w:lang w:eastAsia="en-GB"/>
              </w:rPr>
              <w:t>Apton</w:t>
            </w:r>
            <w:proofErr w:type="spellEnd"/>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C27399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2019/1153</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7D9B63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£15,947.15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62F493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£797.36</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F17E35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£2,392.07</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27A960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3DAF85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276F5D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£12,757.72</w:t>
            </w:r>
          </w:p>
        </w:tc>
      </w:tr>
      <w:tr w:rsidRPr="00C36A42" w:rsidR="00164C21" w:rsidTr="00164C21" w14:paraId="4DB29FAA"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4E6281FB" w14:textId="77777777">
            <w:pPr>
              <w:spacing w:after="0" w:line="240" w:lineRule="auto"/>
              <w:rPr>
                <w:rFonts w:ascii="Arial" w:hAnsi="Arial" w:eastAsia="Times New Roman" w:cs="Arial"/>
                <w:color w:val="000000"/>
                <w:lang w:eastAsia="en-GB"/>
              </w:rPr>
            </w:pPr>
            <w:proofErr w:type="spellStart"/>
            <w:r w:rsidRPr="00C36A42">
              <w:rPr>
                <w:rFonts w:ascii="Arial" w:hAnsi="Arial" w:eastAsia="Times New Roman" w:cs="Arial"/>
                <w:color w:val="000000"/>
                <w:lang w:eastAsia="en-GB"/>
              </w:rPr>
              <w:t>Bracon</w:t>
            </w:r>
            <w:proofErr w:type="spellEnd"/>
            <w:r w:rsidRPr="00C36A42">
              <w:rPr>
                <w:rFonts w:ascii="Arial" w:hAnsi="Arial" w:eastAsia="Times New Roman" w:cs="Arial"/>
                <w:color w:val="000000"/>
                <w:lang w:eastAsia="en-GB"/>
              </w:rPr>
              <w:t xml:space="preserve"> Ash</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421517A"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2017/1521</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D3F803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£21,336.87</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827E34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£1,066.84</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D47E8E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£3,200.53</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ABE96E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CB0ADC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107A78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£17,069.50</w:t>
            </w:r>
          </w:p>
        </w:tc>
      </w:tr>
      <w:tr w:rsidRPr="00C36A42" w:rsidR="00164C21" w:rsidTr="00164C21" w14:paraId="1B01F7AE"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58A40A75"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Bressingham</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832123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2018/1080</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3F13DB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£2,575.32</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8D973BD"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£128.77</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93A06D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£386.30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224E5E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C93D40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E3A3B4D"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£2,060.25</w:t>
            </w:r>
          </w:p>
        </w:tc>
      </w:tr>
      <w:tr w:rsidRPr="00C36A42" w:rsidR="00164C21" w:rsidTr="00164C21" w14:paraId="627A5E08"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358787AF"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Brooke</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B6D044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2019/0082</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049675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£6,105.06</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B0D544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£305.25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9664CE7"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£915.76</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4A12D8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65C9EBD"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A42747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£4,884.05</w:t>
            </w:r>
          </w:p>
        </w:tc>
      </w:tr>
      <w:tr w:rsidRPr="00C36A42" w:rsidR="00164C21" w:rsidTr="00164C21" w14:paraId="5FEF5BAC"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0B76354C"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Bunwell</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0E756A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2018/2087</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5F4781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£8,518.35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EB1183A"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£425.92</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AFB302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£1,277.75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17416A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D95B22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2E03F7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£6,814.68</w:t>
            </w:r>
          </w:p>
        </w:tc>
      </w:tr>
      <w:tr w:rsidRPr="00C36A42" w:rsidR="00164C21" w:rsidTr="00164C21" w14:paraId="64D83678"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7C9CAC19"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Burgh St Peter</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1833A6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2018/2755</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263B2D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£14,491.14</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5CFE76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£724.56</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3EC137D"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£2,173.67</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2B44C1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9D7281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E29636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£11,592.91</w:t>
            </w:r>
          </w:p>
        </w:tc>
      </w:tr>
      <w:tr w:rsidRPr="00C36A42" w:rsidR="00164C21" w:rsidTr="00164C21" w14:paraId="2708871A"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55AE8CAF"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Burgh St Peter</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457EF6A"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2019/0292</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C88872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£5,823.29</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CB6C91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£291.16</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B4DB8AD"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£873.49</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FB26A3D"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AA2722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501899A"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£4,658.64</w:t>
            </w:r>
          </w:p>
        </w:tc>
      </w:tr>
      <w:tr w:rsidRPr="00C36A42" w:rsidR="00164C21" w:rsidTr="00164C21" w14:paraId="47A59FDC"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0D33C617" w14:textId="77777777">
            <w:pPr>
              <w:spacing w:after="0" w:line="240" w:lineRule="auto"/>
              <w:rPr>
                <w:rFonts w:ascii="Arial" w:hAnsi="Arial" w:eastAsia="Times New Roman" w:cs="Arial"/>
                <w:color w:val="000000"/>
                <w:lang w:eastAsia="en-GB"/>
              </w:rPr>
            </w:pPr>
            <w:proofErr w:type="spellStart"/>
            <w:r w:rsidRPr="00C36A42">
              <w:rPr>
                <w:rFonts w:ascii="Arial" w:hAnsi="Arial" w:eastAsia="Times New Roman" w:cs="Arial"/>
                <w:color w:val="000000"/>
                <w:lang w:eastAsia="en-GB"/>
              </w:rPr>
              <w:t>Burston</w:t>
            </w:r>
            <w:proofErr w:type="spellEnd"/>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6432B7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2016/2869</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9E61B5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£5,608.98</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BB2ABA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£280.45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070B6A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£841.35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F1B33E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1A2F09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2F4E297"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£4,487.18</w:t>
            </w:r>
          </w:p>
        </w:tc>
      </w:tr>
      <w:tr w:rsidRPr="00C36A42" w:rsidR="00164C21" w:rsidTr="00164C21" w14:paraId="2CBBE555"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37F28F11" w14:textId="77777777">
            <w:pPr>
              <w:spacing w:after="0" w:line="240" w:lineRule="auto"/>
              <w:rPr>
                <w:rFonts w:ascii="Arial" w:hAnsi="Arial" w:eastAsia="Times New Roman" w:cs="Arial"/>
                <w:color w:val="000000"/>
                <w:lang w:eastAsia="en-GB"/>
              </w:rPr>
            </w:pPr>
            <w:proofErr w:type="spellStart"/>
            <w:r w:rsidRPr="00C36A42">
              <w:rPr>
                <w:rFonts w:ascii="Arial" w:hAnsi="Arial" w:eastAsia="Times New Roman" w:cs="Arial"/>
                <w:color w:val="000000"/>
                <w:lang w:eastAsia="en-GB"/>
              </w:rPr>
              <w:t>Burston</w:t>
            </w:r>
            <w:proofErr w:type="spellEnd"/>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F67585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2018/2598</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AB4E14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£4,991.39</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833AC1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£249.57</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15D26BA"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£748.71</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DA36E8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1D443C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7380F9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£3,993.11</w:t>
            </w:r>
          </w:p>
        </w:tc>
      </w:tr>
      <w:tr w:rsidRPr="00C36A42" w:rsidR="00164C21" w:rsidTr="00164C21" w14:paraId="47FB909E"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3F59CBEA" w14:textId="77777777">
            <w:pPr>
              <w:spacing w:after="0" w:line="240" w:lineRule="auto"/>
              <w:rPr>
                <w:rFonts w:ascii="Arial" w:hAnsi="Arial" w:eastAsia="Times New Roman" w:cs="Arial"/>
                <w:color w:val="000000"/>
                <w:lang w:eastAsia="en-GB"/>
              </w:rPr>
            </w:pPr>
            <w:proofErr w:type="spellStart"/>
            <w:r w:rsidRPr="00C36A42">
              <w:rPr>
                <w:rFonts w:ascii="Arial" w:hAnsi="Arial" w:eastAsia="Times New Roman" w:cs="Arial"/>
                <w:color w:val="000000"/>
                <w:lang w:eastAsia="en-GB"/>
              </w:rPr>
              <w:t>Burston</w:t>
            </w:r>
            <w:proofErr w:type="spellEnd"/>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2F0A84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2018/2599</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5745E3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£4,991.39</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C4F6DA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£249.57</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E2D607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£748.71</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DDA070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04B622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700E27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£3,993.11</w:t>
            </w:r>
          </w:p>
        </w:tc>
      </w:tr>
      <w:tr w:rsidRPr="00C36A42" w:rsidR="00164C21" w:rsidTr="00164C21" w14:paraId="44E47C01"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18E7E481" w14:textId="77777777">
            <w:pPr>
              <w:spacing w:after="0" w:line="240" w:lineRule="auto"/>
              <w:rPr>
                <w:rFonts w:ascii="Arial" w:hAnsi="Arial" w:eastAsia="Times New Roman" w:cs="Arial"/>
                <w:color w:val="000000"/>
                <w:lang w:eastAsia="en-GB"/>
              </w:rPr>
            </w:pPr>
            <w:proofErr w:type="spellStart"/>
            <w:r w:rsidRPr="00C36A42">
              <w:rPr>
                <w:rFonts w:ascii="Arial" w:hAnsi="Arial" w:eastAsia="Times New Roman" w:cs="Arial"/>
                <w:color w:val="000000"/>
                <w:lang w:eastAsia="en-GB"/>
              </w:rPr>
              <w:lastRenderedPageBreak/>
              <w:t>Burston</w:t>
            </w:r>
            <w:proofErr w:type="spellEnd"/>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335D9F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2018/2600</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3F6CB6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£4,991.39</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DE68BA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£249.57</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0897AD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£748.71</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53946E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162788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9B737CD"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£3,993.11</w:t>
            </w:r>
          </w:p>
        </w:tc>
      </w:tr>
      <w:tr w:rsidRPr="00C36A42" w:rsidR="00164C21" w:rsidTr="00164C21" w14:paraId="0687F3C0"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0C761113" w14:textId="77777777">
            <w:pPr>
              <w:spacing w:after="0" w:line="240" w:lineRule="auto"/>
              <w:rPr>
                <w:rFonts w:ascii="Arial" w:hAnsi="Arial" w:eastAsia="Times New Roman" w:cs="Arial"/>
                <w:color w:val="000000"/>
                <w:lang w:eastAsia="en-GB"/>
              </w:rPr>
            </w:pPr>
            <w:proofErr w:type="spellStart"/>
            <w:r w:rsidRPr="00C36A42">
              <w:rPr>
                <w:rFonts w:ascii="Arial" w:hAnsi="Arial" w:eastAsia="Times New Roman" w:cs="Arial"/>
                <w:color w:val="000000"/>
                <w:lang w:eastAsia="en-GB"/>
              </w:rPr>
              <w:t>Burston</w:t>
            </w:r>
            <w:proofErr w:type="spellEnd"/>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879D02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2018/2601</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433689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£4,991.39</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34075C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£249.57</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AF3E02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£748.71</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8EA6E1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48D437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A61019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£3,993.11</w:t>
            </w:r>
          </w:p>
        </w:tc>
      </w:tr>
      <w:tr w:rsidRPr="00C36A42" w:rsidR="00164C21" w:rsidTr="00164C21" w14:paraId="667C97DA"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289ECF10"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Carleton Rode</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F7A692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2019/0205</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62032C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£4,293.67</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C4854F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£214.68</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DF006F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£644.05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C48AC1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AFDDCB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8086E4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£3,434.94</w:t>
            </w:r>
          </w:p>
        </w:tc>
      </w:tr>
      <w:tr w:rsidRPr="00C36A42" w:rsidR="00164C21" w:rsidTr="00164C21" w14:paraId="17A3E040"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54DA6727"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Costessey</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9B41EA7"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2017/1596</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E08E48D"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£8,417.09</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634E70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£420.85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690412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£1,262.56</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7212D5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ED471B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71A510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£6,733.68</w:t>
            </w:r>
          </w:p>
        </w:tc>
      </w:tr>
      <w:tr w:rsidRPr="00C36A42" w:rsidR="00164C21" w:rsidTr="00164C21" w14:paraId="5C6C6452"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04DEB525"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Costessey</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ED8014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2018/1313</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FB569B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£58,452.49</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DA56D6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£2,922.62</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E6376EA"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£8,767.87</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8D5CF1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D7593E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2B888F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£46,762.00</w:t>
            </w:r>
          </w:p>
        </w:tc>
      </w:tr>
      <w:tr w:rsidRPr="00C36A42" w:rsidR="00164C21" w:rsidTr="00164C21" w14:paraId="4BF3BB4D"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455174C8" w14:textId="77777777">
            <w:pPr>
              <w:spacing w:after="0" w:line="240" w:lineRule="auto"/>
              <w:rPr>
                <w:rFonts w:ascii="Arial" w:hAnsi="Arial" w:eastAsia="Times New Roman" w:cs="Arial"/>
                <w:color w:val="000000"/>
                <w:lang w:eastAsia="en-GB"/>
              </w:rPr>
            </w:pPr>
            <w:proofErr w:type="spellStart"/>
            <w:r w:rsidRPr="00C36A42">
              <w:rPr>
                <w:rFonts w:ascii="Arial" w:hAnsi="Arial" w:eastAsia="Times New Roman" w:cs="Arial"/>
                <w:color w:val="000000"/>
                <w:lang w:eastAsia="en-GB"/>
              </w:rPr>
              <w:t>Cringleford</w:t>
            </w:r>
            <w:proofErr w:type="spellEnd"/>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0F9F21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2018/2200</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FC89F7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£791,277.49</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E99720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£39,563.87</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FB8C84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EE7C26D"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£197,819.37</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C1AB4C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7950BD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£553,894.25</w:t>
            </w:r>
          </w:p>
        </w:tc>
      </w:tr>
      <w:tr w:rsidRPr="00C36A42" w:rsidR="00164C21" w:rsidTr="00164C21" w14:paraId="65E262FC"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60655967"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Denton</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B23BBD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2019/0078</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4EA889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£3,500.01</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485EB8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£175.00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0A8A2F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£525.00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0815F57"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E332C2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C3199B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£2,800.01</w:t>
            </w:r>
          </w:p>
        </w:tc>
      </w:tr>
      <w:tr w:rsidRPr="00C36A42" w:rsidR="00164C21" w:rsidTr="00164C21" w14:paraId="5DDE2F93"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38FC3A29"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Deopham</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F4FFDDA"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2018/1836</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ACA6E8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£12,302.75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300400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£615.14</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BA57C3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£1,845.41</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69C7B1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C2A108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4C893E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£9,842.20</w:t>
            </w:r>
          </w:p>
        </w:tc>
      </w:tr>
      <w:tr w:rsidRPr="00C36A42" w:rsidR="00164C21" w:rsidTr="00164C21" w14:paraId="41755FB5"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2FD3F883"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Deopham</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1F198D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2018/1516</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C80AB5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£29,952.91</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F394C8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£1,497.65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4395B1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£4,492.94</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76853D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865AB8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F7187D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£23,962.32</w:t>
            </w:r>
          </w:p>
        </w:tc>
      </w:tr>
      <w:tr w:rsidRPr="00C36A42" w:rsidR="00164C21" w:rsidTr="00164C21" w14:paraId="021D9E08"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4EE56E81" w14:textId="77777777">
            <w:pPr>
              <w:spacing w:after="0" w:line="240" w:lineRule="auto"/>
              <w:rPr>
                <w:rFonts w:ascii="Arial" w:hAnsi="Arial" w:eastAsia="Times New Roman" w:cs="Arial"/>
                <w:color w:val="000000"/>
                <w:lang w:eastAsia="en-GB"/>
              </w:rPr>
            </w:pPr>
            <w:proofErr w:type="spellStart"/>
            <w:r w:rsidRPr="00C36A42">
              <w:rPr>
                <w:rFonts w:ascii="Arial" w:hAnsi="Arial" w:eastAsia="Times New Roman" w:cs="Arial"/>
                <w:color w:val="000000"/>
                <w:lang w:eastAsia="en-GB"/>
              </w:rPr>
              <w:t>Dickleburgh</w:t>
            </w:r>
            <w:proofErr w:type="spellEnd"/>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2CD3D3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2018/0797</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6B1D4C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£10,884.58</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F3C847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£544.23</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FB2056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£1,632.69</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B86CB5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D32960D"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8B3505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£8,707.66</w:t>
            </w:r>
          </w:p>
        </w:tc>
      </w:tr>
      <w:tr w:rsidRPr="00C36A42" w:rsidR="00164C21" w:rsidTr="00164C21" w14:paraId="57C7C4F0"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45444184" w14:textId="77777777">
            <w:pPr>
              <w:spacing w:after="0" w:line="240" w:lineRule="auto"/>
              <w:rPr>
                <w:rFonts w:ascii="Arial" w:hAnsi="Arial" w:eastAsia="Times New Roman" w:cs="Arial"/>
                <w:color w:val="000000"/>
                <w:lang w:eastAsia="en-GB"/>
              </w:rPr>
            </w:pPr>
            <w:proofErr w:type="spellStart"/>
            <w:r w:rsidRPr="00C36A42">
              <w:rPr>
                <w:rFonts w:ascii="Arial" w:hAnsi="Arial" w:eastAsia="Times New Roman" w:cs="Arial"/>
                <w:color w:val="000000"/>
                <w:lang w:eastAsia="en-GB"/>
              </w:rPr>
              <w:t>Dickleburgh</w:t>
            </w:r>
            <w:proofErr w:type="spellEnd"/>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6925007"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2017/1650</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614FCA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£13,008.65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E2E546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£650.43</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26918A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£1,951.30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4E2EC8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0998DB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DDDF9D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£10,406.92</w:t>
            </w:r>
          </w:p>
        </w:tc>
      </w:tr>
      <w:tr w:rsidRPr="00C36A42" w:rsidR="00164C21" w:rsidTr="00164C21" w14:paraId="45EDBA8F"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25DB1EBB"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Diss</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236A2D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2018/1897</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5128AD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£7,791.98</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366424A"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£389.60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509C9FA"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£1,168.80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396656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BBCAAE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FF5709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£6,233.58</w:t>
            </w:r>
          </w:p>
        </w:tc>
      </w:tr>
      <w:tr w:rsidRPr="00C36A42" w:rsidR="00164C21" w:rsidTr="00164C21" w14:paraId="002FD846"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4C1AC808"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Ditchingham</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A78AAB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2015/1436</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239A66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£2,959.72</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8B10C7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£147.99</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B39002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£443.96</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4C7FC2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722887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2D92A1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£2,367.77</w:t>
            </w:r>
          </w:p>
        </w:tc>
      </w:tr>
      <w:tr w:rsidRPr="00C36A42" w:rsidR="00164C21" w:rsidTr="00164C21" w14:paraId="54ACF6C9"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46889FD7"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Earsham</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268CD9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2018/1317</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9A474A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£83,793.67</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51BC6C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£4,189.68</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5A5427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£12,569.05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FF3575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56AEA4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1AA132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£67,034.94</w:t>
            </w:r>
          </w:p>
        </w:tc>
      </w:tr>
      <w:tr w:rsidRPr="00C36A42" w:rsidR="00164C21" w:rsidTr="00164C21" w14:paraId="08477BE9"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0A846B64"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Earsham</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518A42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2019/1461</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D5E81A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£1,006.33</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DA0A57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£50.32</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6F83F8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£150.95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CAB4AC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260C1F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4FEA68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£805.06</w:t>
            </w:r>
          </w:p>
        </w:tc>
      </w:tr>
      <w:tr w:rsidRPr="00C36A42" w:rsidR="00164C21" w:rsidTr="00164C21" w14:paraId="2163CFF7"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39695E94" w14:textId="77777777">
            <w:pPr>
              <w:spacing w:after="0" w:line="240" w:lineRule="auto"/>
              <w:rPr>
                <w:rFonts w:ascii="Arial" w:hAnsi="Arial" w:eastAsia="Times New Roman" w:cs="Arial"/>
                <w:color w:val="000000"/>
                <w:lang w:eastAsia="en-GB"/>
              </w:rPr>
            </w:pPr>
            <w:proofErr w:type="spellStart"/>
            <w:r w:rsidRPr="00C36A42">
              <w:rPr>
                <w:rFonts w:ascii="Arial" w:hAnsi="Arial" w:eastAsia="Times New Roman" w:cs="Arial"/>
                <w:color w:val="000000"/>
                <w:lang w:eastAsia="en-GB"/>
              </w:rPr>
              <w:t>Flordon</w:t>
            </w:r>
            <w:proofErr w:type="spellEnd"/>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A5E31C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2014/1639</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AA95DBD"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£571.90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E7DF47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£28.60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117C2FD"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£85.79</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7A003E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0C2A44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624808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£457.51</w:t>
            </w:r>
          </w:p>
        </w:tc>
      </w:tr>
      <w:tr w:rsidRPr="00C36A42" w:rsidR="00164C21" w:rsidTr="00164C21" w14:paraId="11F17AE2"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0D2DFDC4" w14:textId="77777777">
            <w:pPr>
              <w:spacing w:after="0" w:line="240" w:lineRule="auto"/>
              <w:rPr>
                <w:rFonts w:ascii="Arial" w:hAnsi="Arial" w:eastAsia="Times New Roman" w:cs="Arial"/>
                <w:color w:val="000000"/>
                <w:lang w:eastAsia="en-GB"/>
              </w:rPr>
            </w:pPr>
            <w:proofErr w:type="spellStart"/>
            <w:r w:rsidRPr="00C36A42">
              <w:rPr>
                <w:rFonts w:ascii="Arial" w:hAnsi="Arial" w:eastAsia="Times New Roman" w:cs="Arial"/>
                <w:color w:val="000000"/>
                <w:lang w:eastAsia="en-GB"/>
              </w:rPr>
              <w:t>Flordon</w:t>
            </w:r>
            <w:proofErr w:type="spellEnd"/>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86D032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2018/0973</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91F86F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£7,131.65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988FB8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£356.58</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7276A4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£1,069.75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E24EAA7"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94ADFD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878EB8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£5,705.32</w:t>
            </w:r>
          </w:p>
        </w:tc>
      </w:tr>
      <w:tr w:rsidRPr="00C36A42" w:rsidR="00164C21" w:rsidTr="00164C21" w14:paraId="4CB6634E"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7803F0D6"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Forncett</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A3B3F8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2019/0658</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E01B6C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£6,102.98</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2CEA14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£305.15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C0CF8BA"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£915.45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8AEE7A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8FA4B6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52BCF2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£4,882.38</w:t>
            </w:r>
          </w:p>
        </w:tc>
      </w:tr>
      <w:tr w:rsidRPr="00C36A42" w:rsidR="00164C21" w:rsidTr="00164C21" w14:paraId="4EC3BBB7"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0C0C8F44" w14:textId="77777777">
            <w:pPr>
              <w:spacing w:after="0" w:line="240" w:lineRule="auto"/>
              <w:rPr>
                <w:rFonts w:ascii="Arial" w:hAnsi="Arial" w:eastAsia="Times New Roman" w:cs="Arial"/>
                <w:lang w:eastAsia="en-GB"/>
              </w:rPr>
            </w:pPr>
            <w:r w:rsidRPr="00C36A42">
              <w:rPr>
                <w:rFonts w:ascii="Arial" w:hAnsi="Arial" w:eastAsia="Times New Roman" w:cs="Arial"/>
                <w:lang w:eastAsia="en-GB"/>
              </w:rPr>
              <w:t xml:space="preserve">Framingham </w:t>
            </w:r>
            <w:proofErr w:type="spellStart"/>
            <w:r w:rsidRPr="00C36A42">
              <w:rPr>
                <w:rFonts w:ascii="Arial" w:hAnsi="Arial" w:eastAsia="Times New Roman" w:cs="Arial"/>
                <w:lang w:eastAsia="en-GB"/>
              </w:rPr>
              <w:t>Pigot</w:t>
            </w:r>
            <w:proofErr w:type="spellEnd"/>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8E0D4B4" w14:textId="77777777">
            <w:pPr>
              <w:spacing w:after="0" w:line="240" w:lineRule="auto"/>
              <w:jc w:val="center"/>
              <w:rPr>
                <w:rFonts w:ascii="Arial" w:hAnsi="Arial" w:eastAsia="Times New Roman" w:cs="Arial"/>
                <w:lang w:eastAsia="en-GB"/>
              </w:rPr>
            </w:pPr>
            <w:r w:rsidRPr="00C36A42">
              <w:rPr>
                <w:rFonts w:ascii="Arial" w:hAnsi="Arial" w:eastAsia="Times New Roman" w:cs="Arial"/>
                <w:lang w:eastAsia="en-GB"/>
              </w:rPr>
              <w:t>2016/2816</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44CF5A7" w14:textId="77777777">
            <w:pPr>
              <w:spacing w:after="0" w:line="240" w:lineRule="auto"/>
              <w:jc w:val="center"/>
              <w:rPr>
                <w:rFonts w:ascii="Arial" w:hAnsi="Arial" w:eastAsia="Times New Roman" w:cs="Arial"/>
                <w:lang w:eastAsia="en-GB"/>
              </w:rPr>
            </w:pPr>
            <w:r w:rsidRPr="00C36A42">
              <w:rPr>
                <w:rFonts w:ascii="Arial" w:hAnsi="Arial" w:eastAsia="Times New Roman" w:cs="Arial"/>
                <w:lang w:eastAsia="en-GB"/>
              </w:rPr>
              <w:t>£84.95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778CF99" w14:textId="77777777">
            <w:pPr>
              <w:spacing w:after="0" w:line="240" w:lineRule="auto"/>
              <w:jc w:val="center"/>
              <w:rPr>
                <w:rFonts w:ascii="Arial" w:hAnsi="Arial" w:eastAsia="Times New Roman" w:cs="Arial"/>
                <w:lang w:eastAsia="en-GB"/>
              </w:rPr>
            </w:pPr>
            <w:r w:rsidRPr="00C36A42">
              <w:rPr>
                <w:rFonts w:ascii="Arial" w:hAnsi="Arial" w:eastAsia="Times New Roman" w:cs="Arial"/>
                <w:lang w:eastAsia="en-GB"/>
              </w:rPr>
              <w:t>£4.25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0C108CE" w14:textId="77777777">
            <w:pPr>
              <w:spacing w:after="0" w:line="240" w:lineRule="auto"/>
              <w:jc w:val="center"/>
              <w:rPr>
                <w:rFonts w:ascii="Arial" w:hAnsi="Arial" w:eastAsia="Times New Roman" w:cs="Arial"/>
                <w:lang w:eastAsia="en-GB"/>
              </w:rPr>
            </w:pPr>
            <w:r w:rsidRPr="00C36A42">
              <w:rPr>
                <w:rFonts w:ascii="Arial" w:hAnsi="Arial" w:eastAsia="Times New Roman" w:cs="Arial"/>
                <w:lang w:eastAsia="en-GB"/>
              </w:rPr>
              <w:t> </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87BBA14" w14:textId="77777777">
            <w:pPr>
              <w:spacing w:after="0" w:line="240" w:lineRule="auto"/>
              <w:jc w:val="center"/>
              <w:rPr>
                <w:rFonts w:ascii="Arial" w:hAnsi="Arial" w:eastAsia="Times New Roman" w:cs="Arial"/>
                <w:lang w:eastAsia="en-GB"/>
              </w:rPr>
            </w:pPr>
            <w:r w:rsidRPr="00C36A42">
              <w:rPr>
                <w:rFonts w:ascii="Arial" w:hAnsi="Arial" w:eastAsia="Times New Roman" w:cs="Arial"/>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D9E52AD" w14:textId="77777777">
            <w:pPr>
              <w:spacing w:after="0" w:line="240" w:lineRule="auto"/>
              <w:jc w:val="center"/>
              <w:rPr>
                <w:rFonts w:ascii="Arial" w:hAnsi="Arial" w:eastAsia="Times New Roman" w:cs="Arial"/>
                <w:lang w:eastAsia="en-GB"/>
              </w:rPr>
            </w:pPr>
            <w:r w:rsidRPr="00C36A42">
              <w:rPr>
                <w:rFonts w:ascii="Arial" w:hAnsi="Arial" w:eastAsia="Times New Roman" w:cs="Arial"/>
                <w:lang w:eastAsia="en-GB"/>
              </w:rPr>
              <w:t>£12.74</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DD6A6A5" w14:textId="77777777">
            <w:pPr>
              <w:spacing w:after="0" w:line="240" w:lineRule="auto"/>
              <w:jc w:val="center"/>
              <w:rPr>
                <w:rFonts w:ascii="Arial" w:hAnsi="Arial" w:eastAsia="Times New Roman" w:cs="Arial"/>
                <w:lang w:eastAsia="en-GB"/>
              </w:rPr>
            </w:pPr>
            <w:r w:rsidRPr="00C36A42">
              <w:rPr>
                <w:rFonts w:ascii="Arial" w:hAnsi="Arial" w:eastAsia="Times New Roman" w:cs="Arial"/>
                <w:lang w:eastAsia="en-GB"/>
              </w:rPr>
              <w:t>£67.96</w:t>
            </w:r>
          </w:p>
        </w:tc>
      </w:tr>
      <w:tr w:rsidRPr="00C36A42" w:rsidR="00164C21" w:rsidTr="00164C21" w14:paraId="61DEF1F8"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46054907"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Gissing</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3CF5A7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2018/2731</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4CDBD8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£6,232.73</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3EBBB87"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£311.64</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58616B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£934.91</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421467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B99059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87955D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£4,986.18</w:t>
            </w:r>
          </w:p>
        </w:tc>
      </w:tr>
      <w:tr w:rsidRPr="00C36A42" w:rsidR="00164C21" w:rsidTr="00164C21" w14:paraId="41FD5E75"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40F5A16B"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Gissing</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A3E560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2018/2607</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477CB7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£1,353.69</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2C5B4E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£67.68</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5B8E00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£203.05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07625C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F93617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40DD6FD"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£1,082.96</w:t>
            </w:r>
          </w:p>
        </w:tc>
      </w:tr>
      <w:tr w:rsidRPr="00C36A42" w:rsidR="00164C21" w:rsidTr="00164C21" w14:paraId="5E377E27"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301D9156"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Gissing</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95D5A1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2018/2806</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D5734DA"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£6,232.73</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5933DB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£311.64</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CB3DAB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£934.91</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AD9952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83B3B9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3696AEA"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£4,986.18</w:t>
            </w:r>
          </w:p>
        </w:tc>
      </w:tr>
      <w:tr w:rsidRPr="00C36A42" w:rsidR="00164C21" w:rsidTr="00164C21" w14:paraId="143AB454"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11EF94A2"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Great Moulton</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F25C4F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2018/2090</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70342AD"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£1,426.33</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321D11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£71.32</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35F754A"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£213.95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0235D1D"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7B81B7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D01AC4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£1,141.06</w:t>
            </w:r>
          </w:p>
        </w:tc>
      </w:tr>
      <w:tr w:rsidRPr="00C36A42" w:rsidR="00164C21" w:rsidTr="00164C21" w14:paraId="07669507"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2B24A527"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Hingham</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7E08A3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2018/2763</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C22E03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£845.23</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10019A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£42.26</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BE44787"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£126.78</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F98BA3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12BD3D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96A205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£676.19</w:t>
            </w:r>
          </w:p>
        </w:tc>
      </w:tr>
      <w:tr w:rsidRPr="00C36A42" w:rsidR="00164C21" w:rsidTr="00164C21" w14:paraId="2913A296"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056FD99B"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Ketteringham</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EFBBB4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2018/0991</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A4CF7A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£6,000.00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5C484A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£300.00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F20BD4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£900.00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60912E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526C27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AFE4E6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£4,800.00</w:t>
            </w:r>
          </w:p>
        </w:tc>
      </w:tr>
      <w:tr w:rsidRPr="00C36A42" w:rsidR="00164C21" w:rsidTr="00164C21" w14:paraId="0A2481D1"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7151190D"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Little Melton</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F3AE947"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2018/2812</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21435D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£2,284.37</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C61516A"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£114.22</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C7D3C1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£342.66</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B76ACC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2CE014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4144EE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£1,827.49</w:t>
            </w:r>
          </w:p>
        </w:tc>
      </w:tr>
      <w:tr w:rsidRPr="00C36A42" w:rsidR="00164C21" w:rsidTr="00164C21" w14:paraId="0E32EAC0"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3594DD62"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Little Melton</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AFDC3C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2015/1697</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44BA41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£20,047.09</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4E22207"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£1,002.35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240381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£3,007.06</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4B3AFA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C6589F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E6A470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£16,037.68</w:t>
            </w:r>
          </w:p>
        </w:tc>
      </w:tr>
      <w:tr w:rsidRPr="00C36A42" w:rsidR="00164C21" w:rsidTr="00164C21" w14:paraId="3CABF41F"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5264851E"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Long Stratton</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553A0A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2018/2045</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447B8F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£1,907.59</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E904E9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£95.38</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1232BA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£286.14</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D4D8B3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2E3958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FEB306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£1,526.07</w:t>
            </w:r>
          </w:p>
        </w:tc>
      </w:tr>
      <w:tr w:rsidRPr="00C36A42" w:rsidR="00164C21" w:rsidTr="00164C21" w14:paraId="1A8EE96D"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2BC11EE8"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Morley St Botolph</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ACB755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2017/2921</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A62246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£21,328.90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21BAFC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£1,066.45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B32504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£3,199.34</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43DE95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62CA43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9A4990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£17,063.11</w:t>
            </w:r>
          </w:p>
        </w:tc>
      </w:tr>
      <w:tr w:rsidRPr="00C36A42" w:rsidR="00164C21" w:rsidTr="00164C21" w14:paraId="6718D87D"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779DAC32"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lastRenderedPageBreak/>
              <w:t>Mulbarton</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6E403C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2019/0653</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472E99A"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£6,102.98</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77884D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£305.15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58D52C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9AC420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£1,525.75</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06DDBD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196892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£4,272.08</w:t>
            </w:r>
          </w:p>
        </w:tc>
      </w:tr>
      <w:tr w:rsidRPr="00C36A42" w:rsidR="00164C21" w:rsidTr="00164C21" w14:paraId="1855C72A"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3F361125"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Needham</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83C9B3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2017/2805</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81AB67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£4,226.16</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3D5C86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£211.31</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B759F2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£633.92</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A66D06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5555B87"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6A523A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£3,380.93</w:t>
            </w:r>
          </w:p>
        </w:tc>
      </w:tr>
      <w:tr w:rsidRPr="00C36A42" w:rsidR="00164C21" w:rsidTr="00164C21" w14:paraId="0E047D84"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2DC655A6"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Needham</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CD08E6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2019/1410</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7F4021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£2,079.75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7015C8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£103.99</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A46E8D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£311.96</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D5FD62D"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0A8542A"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4B1A49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£1,663.80</w:t>
            </w:r>
          </w:p>
        </w:tc>
      </w:tr>
      <w:tr w:rsidRPr="00C36A42" w:rsidR="00164C21" w:rsidTr="00164C21" w14:paraId="62D384B8"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5D4FF510"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Poringland</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F7944E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2016/0872</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A55F0F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£1,816.89</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E0A2EC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£90.84</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7B0D26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£272.53</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5853C1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35E5947"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593D15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£1,453.52</w:t>
            </w:r>
          </w:p>
        </w:tc>
      </w:tr>
      <w:tr w:rsidRPr="00C36A42" w:rsidR="00164C21" w:rsidTr="00164C21" w14:paraId="4AFB8C41"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67977FED"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Pulham Market</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A13955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2018/0598</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C5425A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£16,235.44</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3367B9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£811.77</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C2F777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£2,435.32</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405F70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3E1A9B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339C9B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£12,988.35</w:t>
            </w:r>
          </w:p>
        </w:tc>
      </w:tr>
      <w:tr w:rsidRPr="00C36A42" w:rsidR="00164C21" w:rsidTr="00164C21" w14:paraId="6B4ABEA8"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2F40643E"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Pulham Market</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452751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2018/0979</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A61DF2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£6,418.48</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7BA83B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£320.92</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95B749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£962.77</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493D94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702991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9B8A2C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£5,134.79</w:t>
            </w:r>
          </w:p>
        </w:tc>
      </w:tr>
      <w:tr w:rsidRPr="00C36A42" w:rsidR="00164C21" w:rsidTr="00164C21" w14:paraId="30DB3324"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2D811C9B"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Pulham Market</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D333D9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2017/2318</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1CF07E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£2,960.13</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E6DE86D"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£148.01</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97A857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£444.02</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C5E5D2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B295D5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CEFA6B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£2,368.10</w:t>
            </w:r>
          </w:p>
        </w:tc>
      </w:tr>
      <w:tr w:rsidRPr="00C36A42" w:rsidR="00164C21" w:rsidTr="00164C21" w14:paraId="1BD57C1C"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6445A732"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Pulham St Mary</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F2C0F1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2019/1051</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84ADA37"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£2,811.01</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AA23E0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£140.55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D33834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£421.65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C3F9BED"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F4D8CD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D21FC3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£2,248.81</w:t>
            </w:r>
          </w:p>
        </w:tc>
      </w:tr>
      <w:tr w:rsidRPr="00C36A42" w:rsidR="00164C21" w:rsidTr="00164C21" w14:paraId="6BEFD6F3"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68070594"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Pulham St Mary</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06DDC9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2019/1462</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1B3DD2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£3,938.10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C36F9D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£196.91</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41C093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£590.72</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29B82B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2F17AB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4FEBEE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£3,150.47</w:t>
            </w:r>
          </w:p>
        </w:tc>
      </w:tr>
      <w:tr w:rsidRPr="00C36A42" w:rsidR="00164C21" w:rsidTr="00164C21" w14:paraId="2E78C72A"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6B16197E" w14:textId="77777777">
            <w:pPr>
              <w:spacing w:after="0" w:line="240" w:lineRule="auto"/>
              <w:rPr>
                <w:rFonts w:ascii="Arial" w:hAnsi="Arial" w:eastAsia="Times New Roman" w:cs="Arial"/>
                <w:color w:val="000000"/>
                <w:lang w:eastAsia="en-GB"/>
              </w:rPr>
            </w:pPr>
            <w:proofErr w:type="spellStart"/>
            <w:r w:rsidRPr="00C36A42">
              <w:rPr>
                <w:rFonts w:ascii="Arial" w:hAnsi="Arial" w:eastAsia="Times New Roman" w:cs="Arial"/>
                <w:color w:val="000000"/>
                <w:lang w:eastAsia="en-GB"/>
              </w:rPr>
              <w:t>Redenhall</w:t>
            </w:r>
            <w:proofErr w:type="spellEnd"/>
            <w:r w:rsidRPr="00C36A42">
              <w:rPr>
                <w:rFonts w:ascii="Arial" w:hAnsi="Arial" w:eastAsia="Times New Roman" w:cs="Arial"/>
                <w:color w:val="000000"/>
                <w:lang w:eastAsia="en-GB"/>
              </w:rPr>
              <w:t xml:space="preserve"> with Harleston</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9DCE24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2015/1461</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9E24A4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£14,993.88</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947BF3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£749.69</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07F506A"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£2,249.08</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F3CA52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498E7A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8FB5F0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£11,995.11</w:t>
            </w:r>
          </w:p>
        </w:tc>
      </w:tr>
      <w:tr w:rsidRPr="00C36A42" w:rsidR="00164C21" w:rsidTr="00164C21" w14:paraId="16D6B844"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6A7D5E43" w14:textId="77777777">
            <w:pPr>
              <w:spacing w:after="0" w:line="240" w:lineRule="auto"/>
              <w:rPr>
                <w:rFonts w:ascii="Arial" w:hAnsi="Arial" w:eastAsia="Times New Roman" w:cs="Arial"/>
                <w:color w:val="000000"/>
                <w:lang w:eastAsia="en-GB"/>
              </w:rPr>
            </w:pPr>
            <w:proofErr w:type="spellStart"/>
            <w:r w:rsidRPr="00C36A42">
              <w:rPr>
                <w:rFonts w:ascii="Arial" w:hAnsi="Arial" w:eastAsia="Times New Roman" w:cs="Arial"/>
                <w:color w:val="000000"/>
                <w:lang w:eastAsia="en-GB"/>
              </w:rPr>
              <w:t>Redenhall</w:t>
            </w:r>
            <w:proofErr w:type="spellEnd"/>
            <w:r w:rsidRPr="00C36A42">
              <w:rPr>
                <w:rFonts w:ascii="Arial" w:hAnsi="Arial" w:eastAsia="Times New Roman" w:cs="Arial"/>
                <w:color w:val="000000"/>
                <w:lang w:eastAsia="en-GB"/>
              </w:rPr>
              <w:t xml:space="preserve"> with Harleston</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6961F8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2017/0099</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8449387"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£131,520.79</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9DC63D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£6,576.04</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6EEA84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£19,728.12</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CBAE46A"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8D9A5ED"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0BF52C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£105,216.63</w:t>
            </w:r>
          </w:p>
        </w:tc>
      </w:tr>
      <w:tr w:rsidRPr="00C36A42" w:rsidR="00164C21" w:rsidTr="00164C21" w14:paraId="17640DF6"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4667CFBC" w14:textId="77777777">
            <w:pPr>
              <w:spacing w:after="0" w:line="240" w:lineRule="auto"/>
              <w:rPr>
                <w:rFonts w:ascii="Arial" w:hAnsi="Arial" w:eastAsia="Times New Roman" w:cs="Arial"/>
                <w:color w:val="000000"/>
                <w:lang w:eastAsia="en-GB"/>
              </w:rPr>
            </w:pPr>
            <w:proofErr w:type="spellStart"/>
            <w:r w:rsidRPr="00C36A42">
              <w:rPr>
                <w:rFonts w:ascii="Arial" w:hAnsi="Arial" w:eastAsia="Times New Roman" w:cs="Arial"/>
                <w:color w:val="000000"/>
                <w:lang w:eastAsia="en-GB"/>
              </w:rPr>
              <w:t>Redenhall</w:t>
            </w:r>
            <w:proofErr w:type="spellEnd"/>
            <w:r w:rsidRPr="00C36A42">
              <w:rPr>
                <w:rFonts w:ascii="Arial" w:hAnsi="Arial" w:eastAsia="Times New Roman" w:cs="Arial"/>
                <w:color w:val="000000"/>
                <w:lang w:eastAsia="en-GB"/>
              </w:rPr>
              <w:t xml:space="preserve"> with Harleston</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79940A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2018/1904</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D51387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£17,102.74</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FEF9D6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£855.14</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67705A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£2,565.41</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F200A0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B2E1AF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2CC6C5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£13,682.19</w:t>
            </w:r>
          </w:p>
        </w:tc>
      </w:tr>
      <w:tr w:rsidRPr="00C36A42" w:rsidR="00164C21" w:rsidTr="00164C21" w14:paraId="2DCEA01E"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7478421F" w14:textId="77777777">
            <w:pPr>
              <w:spacing w:after="0" w:line="240" w:lineRule="auto"/>
              <w:rPr>
                <w:rFonts w:ascii="Arial" w:hAnsi="Arial" w:eastAsia="Times New Roman" w:cs="Arial"/>
                <w:color w:val="000000"/>
                <w:lang w:eastAsia="en-GB"/>
              </w:rPr>
            </w:pPr>
            <w:proofErr w:type="spellStart"/>
            <w:r w:rsidRPr="00C36A42">
              <w:rPr>
                <w:rFonts w:ascii="Arial" w:hAnsi="Arial" w:eastAsia="Times New Roman" w:cs="Arial"/>
                <w:color w:val="000000"/>
                <w:lang w:eastAsia="en-GB"/>
              </w:rPr>
              <w:t>Redenhall</w:t>
            </w:r>
            <w:proofErr w:type="spellEnd"/>
            <w:r w:rsidRPr="00C36A42">
              <w:rPr>
                <w:rFonts w:ascii="Arial" w:hAnsi="Arial" w:eastAsia="Times New Roman" w:cs="Arial"/>
                <w:color w:val="000000"/>
                <w:lang w:eastAsia="en-GB"/>
              </w:rPr>
              <w:t xml:space="preserve"> with Harleston</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48DA27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2019/0469</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89E64C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£1,086.84</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F8E07C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£54.34</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6CE42ED"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£163.03</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1EA56C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61145CD"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FAF9407"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£869.47</w:t>
            </w:r>
          </w:p>
        </w:tc>
      </w:tr>
      <w:tr w:rsidRPr="00C36A42" w:rsidR="00164C21" w:rsidTr="00164C21" w14:paraId="6815CC10"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6AE174FD" w14:textId="77777777">
            <w:pPr>
              <w:spacing w:after="0" w:line="240" w:lineRule="auto"/>
              <w:rPr>
                <w:rFonts w:ascii="Arial" w:hAnsi="Arial" w:eastAsia="Times New Roman" w:cs="Arial"/>
                <w:color w:val="000000"/>
                <w:lang w:eastAsia="en-GB"/>
              </w:rPr>
            </w:pPr>
            <w:proofErr w:type="spellStart"/>
            <w:r w:rsidRPr="00C36A42">
              <w:rPr>
                <w:rFonts w:ascii="Arial" w:hAnsi="Arial" w:eastAsia="Times New Roman" w:cs="Arial"/>
                <w:color w:val="000000"/>
                <w:lang w:eastAsia="en-GB"/>
              </w:rPr>
              <w:t>Redenhall</w:t>
            </w:r>
            <w:proofErr w:type="spellEnd"/>
            <w:r w:rsidRPr="00C36A42">
              <w:rPr>
                <w:rFonts w:ascii="Arial" w:hAnsi="Arial" w:eastAsia="Times New Roman" w:cs="Arial"/>
                <w:color w:val="000000"/>
                <w:lang w:eastAsia="en-GB"/>
              </w:rPr>
              <w:t xml:space="preserve"> with Harleston</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65202C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2019/1483</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34233B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£1,945.57</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DC79527"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£97.28</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CB1DBB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£291.84</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E46366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6A1AEE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3C001E7"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£1,556.45</w:t>
            </w:r>
          </w:p>
        </w:tc>
      </w:tr>
      <w:tr w:rsidRPr="00C36A42" w:rsidR="00164C21" w:rsidTr="00164C21" w14:paraId="1F57C042"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27427727"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Rockland St Mary</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BE1D7E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2017/1646</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2239BD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£162,319.22</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B1F784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£8,115.96</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156137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£24,347.88</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E355D4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048243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AA321E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£129,855.38</w:t>
            </w:r>
          </w:p>
        </w:tc>
      </w:tr>
      <w:tr w:rsidRPr="00C36A42" w:rsidR="00164C21" w:rsidTr="00164C21" w14:paraId="2287A50C"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04775FB3"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Roydon</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29F009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2016/2174</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8E65AE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£7,225.74</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83B073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£361.29</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B91CADD"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£1,083.86</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32044F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803B3C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1144AD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£5,780.59</w:t>
            </w:r>
          </w:p>
        </w:tc>
      </w:tr>
      <w:tr w:rsidRPr="00C36A42" w:rsidR="00164C21" w:rsidTr="00164C21" w14:paraId="5F8C5423"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48D384C4"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Saxlingham Nethergate</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599310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2019/0786</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0FA29D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£530.00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822F5CA"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£26.50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03C2F6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£79.50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FF4822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230E66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904FDE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£424.00</w:t>
            </w:r>
          </w:p>
        </w:tc>
      </w:tr>
      <w:tr w:rsidRPr="00C36A42" w:rsidR="00164C21" w:rsidTr="00164C21" w14:paraId="52CB91F6"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2584B3C9"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Seething</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EF1DD2A"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2018/0442</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FBE887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£45,018.51</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B86594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£2,250.93</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C1CECE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£6,752.78</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CB89B5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12CB23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ABD149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£36,014.80</w:t>
            </w:r>
          </w:p>
        </w:tc>
      </w:tr>
      <w:tr w:rsidRPr="00C36A42" w:rsidR="00164C21" w:rsidTr="00164C21" w14:paraId="5BA7F882"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66AB718B"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Seething</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A2FBFE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2018/1033</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4E1FC0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£26,347.47</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C8E5CB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£1,317.37</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C8830CD"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£3,952.12</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FC4EB2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07E50B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8EA9D7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£21,077.98</w:t>
            </w:r>
          </w:p>
        </w:tc>
      </w:tr>
      <w:tr w:rsidRPr="00C36A42" w:rsidR="00164C21" w:rsidTr="00164C21" w14:paraId="0EA00452"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55F56D11"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Shelton</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365F6D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2019/0179</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9BBBC3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£2,898.23</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230A4E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£144.91</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F34309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£434.73</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03869D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F405EC7"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380C8B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£2,318.59</w:t>
            </w:r>
          </w:p>
        </w:tc>
      </w:tr>
      <w:tr w:rsidRPr="00C36A42" w:rsidR="00164C21" w:rsidTr="00164C21" w14:paraId="2AD9F202"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2BD28559" w14:textId="77777777">
            <w:pPr>
              <w:spacing w:after="0" w:line="240" w:lineRule="auto"/>
              <w:rPr>
                <w:rFonts w:ascii="Arial" w:hAnsi="Arial" w:eastAsia="Times New Roman" w:cs="Arial"/>
                <w:color w:val="000000"/>
                <w:lang w:eastAsia="en-GB"/>
              </w:rPr>
            </w:pPr>
            <w:proofErr w:type="spellStart"/>
            <w:r w:rsidRPr="00C36A42">
              <w:rPr>
                <w:rFonts w:ascii="Arial" w:hAnsi="Arial" w:eastAsia="Times New Roman" w:cs="Arial"/>
                <w:color w:val="000000"/>
                <w:lang w:eastAsia="en-GB"/>
              </w:rPr>
              <w:t>Starston</w:t>
            </w:r>
            <w:proofErr w:type="spellEnd"/>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6526CB7"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2019/0965</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32189F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£4,870.63</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8B6884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£243.53</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D969A1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£730.59</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5A2CBE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174814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D907B5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£3,896.51</w:t>
            </w:r>
          </w:p>
        </w:tc>
      </w:tr>
      <w:tr w:rsidRPr="00C36A42" w:rsidR="00164C21" w:rsidTr="00164C21" w14:paraId="4C7A55AB"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0626125E"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Stoke Holy Cross</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D9B593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2017/2586</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BBB891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£1,140.38</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4875B5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£57.02</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7C93CC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£171.06</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E2E76E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793CA5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BC555D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£912.30</w:t>
            </w:r>
          </w:p>
        </w:tc>
      </w:tr>
      <w:tr w:rsidRPr="00C36A42" w:rsidR="00164C21" w:rsidTr="00164C21" w14:paraId="5A26353A"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0C356F0B"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Surlingham</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8F1BE6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2018/2100</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D2170B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£2,080.06</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6EE28D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£104.00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9A0E25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£312.01</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C19276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C0AADC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0B8BC8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£1,664.05</w:t>
            </w:r>
          </w:p>
        </w:tc>
      </w:tr>
      <w:tr w:rsidRPr="00C36A42" w:rsidR="00164C21" w:rsidTr="00164C21" w14:paraId="6E9ED83B"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06D4E145" w14:textId="77777777">
            <w:pPr>
              <w:spacing w:after="0" w:line="240" w:lineRule="auto"/>
              <w:rPr>
                <w:rFonts w:ascii="Arial" w:hAnsi="Arial" w:eastAsia="Times New Roman" w:cs="Arial"/>
                <w:color w:val="000000"/>
                <w:lang w:eastAsia="en-GB"/>
              </w:rPr>
            </w:pPr>
            <w:proofErr w:type="spellStart"/>
            <w:r w:rsidRPr="00C36A42">
              <w:rPr>
                <w:rFonts w:ascii="Arial" w:hAnsi="Arial" w:eastAsia="Times New Roman" w:cs="Arial"/>
                <w:color w:val="000000"/>
                <w:lang w:eastAsia="en-GB"/>
              </w:rPr>
              <w:t>Talcolneston</w:t>
            </w:r>
            <w:proofErr w:type="spellEnd"/>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FD2B67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2018/1910</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1AE8EA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£9,794.94</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0A388F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£489.75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CC94B1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£1,469.24</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152540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E6F2E1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A48317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£7,835.95</w:t>
            </w:r>
          </w:p>
        </w:tc>
      </w:tr>
      <w:tr w:rsidRPr="00C36A42" w:rsidR="00164C21" w:rsidTr="00164C21" w14:paraId="7894F9EC"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5EDA3123" w14:textId="77777777">
            <w:pPr>
              <w:spacing w:after="0" w:line="240" w:lineRule="auto"/>
              <w:rPr>
                <w:rFonts w:ascii="Arial" w:hAnsi="Arial" w:eastAsia="Times New Roman" w:cs="Arial"/>
                <w:color w:val="000000"/>
                <w:lang w:eastAsia="en-GB"/>
              </w:rPr>
            </w:pPr>
            <w:proofErr w:type="spellStart"/>
            <w:r w:rsidRPr="00C36A42">
              <w:rPr>
                <w:rFonts w:ascii="Arial" w:hAnsi="Arial" w:eastAsia="Times New Roman" w:cs="Arial"/>
                <w:color w:val="000000"/>
                <w:lang w:eastAsia="en-GB"/>
              </w:rPr>
              <w:t>Tharston</w:t>
            </w:r>
            <w:proofErr w:type="spellEnd"/>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39C068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2018/2732</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3B3115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£3,777.09</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7AD9F6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£188.85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AC9405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£566.56</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5B5D7C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C2360C7"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444A5A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£3,021.68</w:t>
            </w:r>
          </w:p>
        </w:tc>
      </w:tr>
      <w:tr w:rsidRPr="00C36A42" w:rsidR="00164C21" w:rsidTr="00164C21" w14:paraId="1D79F3CD"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0644BA4A" w14:textId="77777777">
            <w:pPr>
              <w:spacing w:after="0" w:line="240" w:lineRule="auto"/>
              <w:rPr>
                <w:rFonts w:ascii="Arial" w:hAnsi="Arial" w:eastAsia="Times New Roman" w:cs="Arial"/>
                <w:color w:val="000000"/>
                <w:lang w:eastAsia="en-GB"/>
              </w:rPr>
            </w:pPr>
            <w:proofErr w:type="spellStart"/>
            <w:r w:rsidRPr="00C36A42">
              <w:rPr>
                <w:rFonts w:ascii="Arial" w:hAnsi="Arial" w:eastAsia="Times New Roman" w:cs="Arial"/>
                <w:color w:val="000000"/>
                <w:lang w:eastAsia="en-GB"/>
              </w:rPr>
              <w:lastRenderedPageBreak/>
              <w:t>Thurlton</w:t>
            </w:r>
            <w:proofErr w:type="spellEnd"/>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5AB5D8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2017/2302</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A31050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£98,208.70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59A9B5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£4,910.44</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746ECA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£14,731.31</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6F12FB7"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DC034AD"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1B1CFB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£78,566.95</w:t>
            </w:r>
          </w:p>
        </w:tc>
      </w:tr>
      <w:tr w:rsidRPr="00C36A42" w:rsidR="00164C21" w:rsidTr="00164C21" w14:paraId="28C549EE"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6A8AB6EB" w14:textId="77777777">
            <w:pPr>
              <w:spacing w:after="0" w:line="240" w:lineRule="auto"/>
              <w:rPr>
                <w:rFonts w:ascii="Arial" w:hAnsi="Arial" w:eastAsia="Times New Roman" w:cs="Arial"/>
                <w:color w:val="000000"/>
                <w:lang w:eastAsia="en-GB"/>
              </w:rPr>
            </w:pPr>
            <w:proofErr w:type="spellStart"/>
            <w:r w:rsidRPr="00C36A42">
              <w:rPr>
                <w:rFonts w:ascii="Arial" w:hAnsi="Arial" w:eastAsia="Times New Roman" w:cs="Arial"/>
                <w:color w:val="000000"/>
                <w:lang w:eastAsia="en-GB"/>
              </w:rPr>
              <w:t>Tibenham</w:t>
            </w:r>
            <w:proofErr w:type="spellEnd"/>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698561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2018/0198</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D2BD92A"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£6,438.29</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637298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£321.91</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D40F0E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£965.74</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F66344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EF0F67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D2B14A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£5,150.64</w:t>
            </w:r>
          </w:p>
        </w:tc>
      </w:tr>
      <w:tr w:rsidRPr="00C36A42" w:rsidR="00164C21" w:rsidTr="00164C21" w14:paraId="6BCCE796"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33B1E689"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Tivetshall St Margaret</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AE5DCA7"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2016/1567</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F4EC61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£2,656.99</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C11340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£132.85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B05865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£398.55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DFFD8B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B29393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786072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£2,125.59</w:t>
            </w:r>
          </w:p>
        </w:tc>
      </w:tr>
      <w:tr w:rsidRPr="00C36A42" w:rsidR="00164C21" w:rsidTr="00164C21" w14:paraId="3A71E384"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2EDD5AE8"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Toft Monks</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CF5420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2017/0056</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7F31F3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£3,258.23</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50294EA"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£162.91</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F17DDD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£488.73</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1A5DB9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2E5238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B9050A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£2,606.59</w:t>
            </w:r>
          </w:p>
        </w:tc>
      </w:tr>
      <w:tr w:rsidRPr="00C36A42" w:rsidR="00164C21" w:rsidTr="00164C21" w14:paraId="43CB816E"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3E320D2E"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Topcroft</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1306977"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2019/0885</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94AC63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£1,811.39</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4A2C02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£90.57</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2B1D33D"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£271.71</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B017A7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2C30C2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FB527FA"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£1,449.11</w:t>
            </w:r>
          </w:p>
        </w:tc>
      </w:tr>
      <w:tr w:rsidRPr="00C36A42" w:rsidR="00164C21" w:rsidTr="00164C21" w14:paraId="19BD0E0E"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71312A1B" w14:textId="77777777">
            <w:pPr>
              <w:spacing w:after="0" w:line="240" w:lineRule="auto"/>
              <w:rPr>
                <w:rFonts w:ascii="Arial" w:hAnsi="Arial" w:eastAsia="Times New Roman" w:cs="Arial"/>
                <w:color w:val="000000"/>
                <w:lang w:eastAsia="en-GB"/>
              </w:rPr>
            </w:pPr>
            <w:proofErr w:type="spellStart"/>
            <w:r w:rsidRPr="00C36A42">
              <w:rPr>
                <w:rFonts w:ascii="Arial" w:hAnsi="Arial" w:eastAsia="Times New Roman" w:cs="Arial"/>
                <w:color w:val="000000"/>
                <w:lang w:eastAsia="en-GB"/>
              </w:rPr>
              <w:t>Wicklewood</w:t>
            </w:r>
            <w:proofErr w:type="spellEnd"/>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629432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2017/1983</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801CDA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£6,244.94</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83BC9D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£312.25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8BA803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£936.74</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5D497D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7D2DEB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FB7D04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£4,995.95</w:t>
            </w:r>
          </w:p>
        </w:tc>
      </w:tr>
      <w:tr w:rsidRPr="00C36A42" w:rsidR="00164C21" w:rsidTr="00164C21" w14:paraId="64A31E28"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04D0EAA8" w14:textId="77777777">
            <w:pPr>
              <w:spacing w:after="0" w:line="240" w:lineRule="auto"/>
              <w:rPr>
                <w:rFonts w:ascii="Arial" w:hAnsi="Arial" w:eastAsia="Times New Roman" w:cs="Arial"/>
                <w:color w:val="000000"/>
                <w:lang w:eastAsia="en-GB"/>
              </w:rPr>
            </w:pPr>
            <w:proofErr w:type="spellStart"/>
            <w:r w:rsidRPr="00C36A42">
              <w:rPr>
                <w:rFonts w:ascii="Arial" w:hAnsi="Arial" w:eastAsia="Times New Roman" w:cs="Arial"/>
                <w:color w:val="000000"/>
                <w:lang w:eastAsia="en-GB"/>
              </w:rPr>
              <w:t>Wicklewood</w:t>
            </w:r>
            <w:proofErr w:type="spellEnd"/>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DC6F20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2018/0555</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43F6C2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£11,886.08</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023FE5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£594.30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FE0121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£1,782.91</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223AE37"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DDF476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9C20E1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£9,508.87</w:t>
            </w:r>
          </w:p>
        </w:tc>
      </w:tr>
      <w:tr w:rsidRPr="00C36A42" w:rsidR="00164C21" w:rsidTr="00164C21" w14:paraId="243FB76B"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60C8DF43" w14:textId="77777777">
            <w:pPr>
              <w:spacing w:after="0" w:line="240" w:lineRule="auto"/>
              <w:rPr>
                <w:rFonts w:ascii="Arial" w:hAnsi="Arial" w:eastAsia="Times New Roman" w:cs="Arial"/>
                <w:color w:val="000000"/>
                <w:lang w:eastAsia="en-GB"/>
              </w:rPr>
            </w:pPr>
            <w:proofErr w:type="spellStart"/>
            <w:r w:rsidRPr="00C36A42">
              <w:rPr>
                <w:rFonts w:ascii="Arial" w:hAnsi="Arial" w:eastAsia="Times New Roman" w:cs="Arial"/>
                <w:color w:val="000000"/>
                <w:lang w:eastAsia="en-GB"/>
              </w:rPr>
              <w:t>Wreningham</w:t>
            </w:r>
            <w:proofErr w:type="spellEnd"/>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529FB6A"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2018/2301</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69EBE7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£6,507.59</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2FDB47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£325.38</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A01463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£976.14</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DF0B2E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60B535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B88A57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£5,206.07</w:t>
            </w:r>
          </w:p>
        </w:tc>
      </w:tr>
      <w:tr w:rsidRPr="00C36A42" w:rsidR="00164C21" w:rsidTr="00164C21" w14:paraId="44121D51"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3B6C55C5" w14:textId="77777777">
            <w:pPr>
              <w:spacing w:after="0" w:line="240" w:lineRule="auto"/>
              <w:rPr>
                <w:rFonts w:ascii="Arial" w:hAnsi="Arial" w:eastAsia="Times New Roman" w:cs="Arial"/>
                <w:color w:val="000000"/>
                <w:lang w:eastAsia="en-GB"/>
              </w:rPr>
            </w:pPr>
            <w:proofErr w:type="spellStart"/>
            <w:r w:rsidRPr="00C36A42">
              <w:rPr>
                <w:rFonts w:ascii="Arial" w:hAnsi="Arial" w:eastAsia="Times New Roman" w:cs="Arial"/>
                <w:color w:val="000000"/>
                <w:lang w:eastAsia="en-GB"/>
              </w:rPr>
              <w:t>Wreningham</w:t>
            </w:r>
            <w:proofErr w:type="spellEnd"/>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6232E7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2019/0353</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EBBA65D"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£14,373.74</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FEA0AAA"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£718.69</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0A7DD2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£2,156.06</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2DCAA6A"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6827EA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7416D7D"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£11,498.99</w:t>
            </w:r>
          </w:p>
        </w:tc>
      </w:tr>
      <w:tr w:rsidRPr="00C36A42" w:rsidR="00164C21" w:rsidTr="00164C21" w14:paraId="7CE51290"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05FB7C27"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Wymondham</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BD6A1D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2016/1614</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40B5507"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£5,202.53</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1C9AF8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£260.13</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160B567"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£780.38</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61BE99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7DD100A"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6BD07E7"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£4,162.02</w:t>
            </w:r>
          </w:p>
        </w:tc>
      </w:tr>
      <w:tr w:rsidRPr="00C36A42" w:rsidR="00164C21" w:rsidTr="00164C21" w14:paraId="36478672"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7B0622DB"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Wymondham</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574383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2018/0364</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69CD41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£15,030.93</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98269B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£751.55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B1DD9F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£2,254.64</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33F755A"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485E68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FE95AA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£12,024.74</w:t>
            </w:r>
          </w:p>
        </w:tc>
      </w:tr>
      <w:tr w:rsidRPr="00C36A42" w:rsidR="00164C21" w:rsidTr="00164C21" w14:paraId="740D7040"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70FD8BDE"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Wymondham</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9EBB64A"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2018/0829</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2BD0B6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£5,005.36</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96C269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£250.27</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5107E17"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£750.80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4C2040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221924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CF592C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£4,004.29</w:t>
            </w:r>
          </w:p>
        </w:tc>
      </w:tr>
      <w:tr w:rsidRPr="00C36A42" w:rsidR="00164C21" w:rsidTr="00164C21" w14:paraId="379612EB"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429846DA"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Wymondham</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6E2FFE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2018/0892</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D80DBB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£27,738.29</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379292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£1,386.91</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A2BE5A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£4,160.74</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1160B8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5C4843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F122EB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£22,190.64</w:t>
            </w:r>
          </w:p>
        </w:tc>
      </w:tr>
      <w:tr w:rsidRPr="00C36A42" w:rsidR="00164C21" w:rsidTr="00164C21" w14:paraId="44992E89"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13609A50"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Wymondham</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C0CB9D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2018/1252</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F42519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£10,499.37</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E40B14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£524.97</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2DE873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£1,574.91</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DF6950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7BF5EDD"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3A74F4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£8,399.49</w:t>
            </w:r>
          </w:p>
        </w:tc>
      </w:tr>
      <w:tr w:rsidRPr="00C36A42" w:rsidR="00164C21" w:rsidTr="00164C21" w14:paraId="5836E677"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439B0C25"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Wymondham</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E2DC12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2018/1582</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C56F917"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£6,240.19</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F9EA2A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£312.01</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3D1A19A"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£936.03</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C3163B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DCC3ED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F93E7F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£4,992.15</w:t>
            </w:r>
          </w:p>
        </w:tc>
      </w:tr>
      <w:tr w:rsidRPr="00C36A42" w:rsidR="00164C21" w:rsidTr="00164C21" w14:paraId="394EA5A8"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4D34471C"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Wymondham</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998DBE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2018/1603</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838375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£198.10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FB0782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£9.91</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FFD23D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£29.72</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D54BC2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6C233B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346419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£158.47</w:t>
            </w:r>
          </w:p>
        </w:tc>
      </w:tr>
      <w:tr w:rsidRPr="00C36A42" w:rsidR="00164C21" w:rsidTr="00164C21" w14:paraId="5EFB4A68"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1935DE2D"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Wymondham</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2991B0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2018/2686</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6AF65C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£1,148.99</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1DFD1D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£57.45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282037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£172.35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0CAD3D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02D345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13D127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£919.19</w:t>
            </w:r>
          </w:p>
        </w:tc>
      </w:tr>
      <w:tr w:rsidRPr="00C36A42" w:rsidR="00164C21" w:rsidTr="00164C21" w14:paraId="5F96A8C3"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6962616E"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Wymondham</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E40972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2019/0335</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EF34CA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£6,245.95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6D0267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£312.30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A616D5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£936.89</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6AD6E77"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673915D"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A9C773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£4,996.76</w:t>
            </w:r>
          </w:p>
        </w:tc>
      </w:tr>
      <w:tr w:rsidRPr="00C36A42" w:rsidR="00164C21" w:rsidTr="00164C21" w14:paraId="64BE661B"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31D51FC6"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Wymondham</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830CE1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2019/0758</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35F160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£530.00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1DDFEC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£26.50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C844DD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£79.50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AAB35B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5390DBD"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8D0FE7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£424.00</w:t>
            </w:r>
          </w:p>
        </w:tc>
      </w:tr>
      <w:tr w:rsidRPr="00C36A42" w:rsidR="00164C21" w:rsidTr="00164C21" w14:paraId="51097F09"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775FFBF6"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Spooner Row</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8520A9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2016/1868</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E6E522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£7,283.54</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952543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£364.18</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675CF1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£1,092.53</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095C08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C06DBF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E31A16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£5,826.83</w:t>
            </w:r>
          </w:p>
        </w:tc>
      </w:tr>
      <w:tr w:rsidRPr="00C36A42" w:rsidR="00164C21" w:rsidTr="00164C21" w14:paraId="7C0E5D57"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745B6EAF"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Spooner Row</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2B2176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2016/2424</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539812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£7,406.44</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A1C4C7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£370.32</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AAE843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£1,110.97</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41400B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E6B225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F10A17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£5,925.15</w:t>
            </w:r>
          </w:p>
        </w:tc>
      </w:tr>
      <w:tr w:rsidRPr="00C36A42" w:rsidR="00164C21" w:rsidTr="00164C21" w14:paraId="0D2E82CF"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4E1FC505"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Spooner Row</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3D638B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2019/0666</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C4BA86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£3,365.97</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D87D63A"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£168.30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F32370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£504.90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474E33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33DF4F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AEACFB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£2,692.77</w:t>
            </w:r>
          </w:p>
        </w:tc>
      </w:tr>
      <w:tr w:rsidRPr="00C36A42" w:rsidR="00164C21" w:rsidTr="00164C21" w14:paraId="6D996D9D"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4C5CF9F1"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Spooner Row</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5ED7BFA"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2018/1622</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2B9EF1A"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£10,130.38</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21684A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£506.52</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4EBA3B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£1,519.56</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EF5051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8D11A2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8E3FE2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£8,104.30</w:t>
            </w:r>
          </w:p>
        </w:tc>
      </w:tr>
      <w:tr w:rsidRPr="00C36A42" w:rsidR="00164C21" w:rsidTr="00164C21" w14:paraId="5406BFBB"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320F0544"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Alburgh</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549C47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2016/2235</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A02DCF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£7,311.29</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AE525A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£365.56</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3E39EF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£1,096.69</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E553A6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6AE336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3F6898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£5,849.04</w:t>
            </w:r>
          </w:p>
        </w:tc>
      </w:tr>
      <w:tr w:rsidRPr="00C36A42" w:rsidR="00164C21" w:rsidTr="00164C21" w14:paraId="23735446"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21F6520F"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Barford</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1B6DD3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2019/1117</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F518A07"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£17,900.93</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62922D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£895.05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32A32A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£2,685.14</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4E4F78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EF8898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FC0D33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£14,320.74</w:t>
            </w:r>
          </w:p>
        </w:tc>
      </w:tr>
      <w:tr w:rsidRPr="00C36A42" w:rsidR="00164C21" w:rsidTr="00164C21" w14:paraId="32E84AFB"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1A74C7F1" w14:textId="77777777">
            <w:pPr>
              <w:spacing w:after="0" w:line="240" w:lineRule="auto"/>
              <w:rPr>
                <w:rFonts w:ascii="Arial" w:hAnsi="Arial" w:eastAsia="Times New Roman" w:cs="Arial"/>
                <w:color w:val="000000"/>
                <w:lang w:eastAsia="en-GB"/>
              </w:rPr>
            </w:pPr>
            <w:proofErr w:type="spellStart"/>
            <w:r w:rsidRPr="00C36A42">
              <w:rPr>
                <w:rFonts w:ascii="Arial" w:hAnsi="Arial" w:eastAsia="Times New Roman" w:cs="Arial"/>
                <w:color w:val="000000"/>
                <w:lang w:eastAsia="en-GB"/>
              </w:rPr>
              <w:t>Bracon</w:t>
            </w:r>
            <w:proofErr w:type="spellEnd"/>
            <w:r w:rsidRPr="00C36A42">
              <w:rPr>
                <w:rFonts w:ascii="Arial" w:hAnsi="Arial" w:eastAsia="Times New Roman" w:cs="Arial"/>
                <w:color w:val="000000"/>
                <w:lang w:eastAsia="en-GB"/>
              </w:rPr>
              <w:t xml:space="preserve"> Ash</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D27191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2017/1521</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FFAEF4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£64,859.90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8B997A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£3,243.00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2FB07D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£9,728.99</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368320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F53DA2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EE42EE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£51,887.91</w:t>
            </w:r>
          </w:p>
        </w:tc>
      </w:tr>
      <w:tr w:rsidRPr="00C36A42" w:rsidR="00164C21" w:rsidTr="00164C21" w14:paraId="00575DE4"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14914AB7" w14:textId="77777777">
            <w:pPr>
              <w:spacing w:after="0" w:line="240" w:lineRule="auto"/>
              <w:rPr>
                <w:rFonts w:ascii="Arial" w:hAnsi="Arial" w:eastAsia="Times New Roman" w:cs="Arial"/>
                <w:color w:val="000000"/>
                <w:lang w:eastAsia="en-GB"/>
              </w:rPr>
            </w:pPr>
            <w:proofErr w:type="spellStart"/>
            <w:r w:rsidRPr="00C36A42">
              <w:rPr>
                <w:rFonts w:ascii="Arial" w:hAnsi="Arial" w:eastAsia="Times New Roman" w:cs="Arial"/>
                <w:color w:val="000000"/>
                <w:lang w:eastAsia="en-GB"/>
              </w:rPr>
              <w:t>Bracon</w:t>
            </w:r>
            <w:proofErr w:type="spellEnd"/>
            <w:r w:rsidRPr="00C36A42">
              <w:rPr>
                <w:rFonts w:ascii="Arial" w:hAnsi="Arial" w:eastAsia="Times New Roman" w:cs="Arial"/>
                <w:color w:val="000000"/>
                <w:lang w:eastAsia="en-GB"/>
              </w:rPr>
              <w:t xml:space="preserve"> Ash</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4EC058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2017/0704</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D9DDF7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£2,027.34</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C92D1F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£101.37</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78EB71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£304.10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913DC6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9FC3C5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CA3509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£1,621.87</w:t>
            </w:r>
          </w:p>
        </w:tc>
      </w:tr>
      <w:tr w:rsidRPr="00C36A42" w:rsidR="00164C21" w:rsidTr="00164C21" w14:paraId="7C7D36F2"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32B9ADAD"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Bressingham</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848820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2020/0161</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0B0B63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£352.32</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64AF88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£17.62</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52D34C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£52.85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24D7E3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1EF12D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BB2914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£281.85</w:t>
            </w:r>
          </w:p>
        </w:tc>
      </w:tr>
      <w:tr w:rsidRPr="00C36A42" w:rsidR="00164C21" w:rsidTr="00164C21" w14:paraId="75304524"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6AB1EB68"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Bressingham</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6A0DA9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2018/2692</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3EF66B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£15,044.62</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245593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£752.23</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97C9D2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£2,256.69</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CA5928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6F3D33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2FB7E7D"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£12,035.70</w:t>
            </w:r>
          </w:p>
        </w:tc>
      </w:tr>
      <w:tr w:rsidRPr="00C36A42" w:rsidR="00164C21" w:rsidTr="00164C21" w14:paraId="316FFB1B"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57D97E12"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lastRenderedPageBreak/>
              <w:t>Bressingham</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DC66C7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2018/1018</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03B77E7"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£7,263.71</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473C9FD"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£363.19</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918A60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£1,089.56</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1A75B4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C66684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FBA197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£5,810.96</w:t>
            </w:r>
          </w:p>
        </w:tc>
      </w:tr>
      <w:tr w:rsidRPr="00C36A42" w:rsidR="00164C21" w:rsidTr="00164C21" w14:paraId="46EE312A"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3001092F"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Bressingham</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2CA29C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2018/1018</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0B107F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£8,518.35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28A63D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£425.92</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2243CC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£1,277.75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33BFE27"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F91D49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894939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£6,814.68</w:t>
            </w:r>
          </w:p>
        </w:tc>
      </w:tr>
      <w:tr w:rsidRPr="00C36A42" w:rsidR="00164C21" w:rsidTr="00164C21" w14:paraId="3E146899"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3AE0EC07"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Broome</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1CBA53A"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2018/0852</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C8E965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£60,158.35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52B1DAA"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£3,007.92</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21DDF3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£9,023.75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F0946B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1EB302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6A409A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£48,126.68</w:t>
            </w:r>
          </w:p>
        </w:tc>
      </w:tr>
      <w:tr w:rsidRPr="00C36A42" w:rsidR="00164C21" w:rsidTr="00164C21" w14:paraId="0A0EF720"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2FFD903F"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Costessey</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D93927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2019/1771</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167717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£10,088.45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878DAF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£504.42</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F741AED"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£1,513.27</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439EBF7"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D1E0B7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4ABB36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£8,070.76</w:t>
            </w:r>
          </w:p>
        </w:tc>
      </w:tr>
      <w:tr w:rsidRPr="00C36A42" w:rsidR="00164C21" w:rsidTr="00164C21" w14:paraId="5E2C7BA4"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7B2B45A3"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Costessey</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61B753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2016/2284</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66C107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£6,459.81</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ABFED5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£322.99</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000C2C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£968.97</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83C16A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43E6C9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9D7FDB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£5,167.85</w:t>
            </w:r>
          </w:p>
        </w:tc>
      </w:tr>
      <w:tr w:rsidRPr="00C36A42" w:rsidR="00164C21" w:rsidTr="00164C21" w14:paraId="464B065B"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6B902495" w14:textId="77777777">
            <w:pPr>
              <w:spacing w:after="0" w:line="240" w:lineRule="auto"/>
              <w:rPr>
                <w:rFonts w:ascii="Arial" w:hAnsi="Arial" w:eastAsia="Times New Roman" w:cs="Arial"/>
                <w:color w:val="000000"/>
                <w:lang w:eastAsia="en-GB"/>
              </w:rPr>
            </w:pPr>
            <w:proofErr w:type="spellStart"/>
            <w:r w:rsidRPr="00C36A42">
              <w:rPr>
                <w:rFonts w:ascii="Arial" w:hAnsi="Arial" w:eastAsia="Times New Roman" w:cs="Arial"/>
                <w:color w:val="000000"/>
                <w:lang w:eastAsia="en-GB"/>
              </w:rPr>
              <w:t>Cringleford</w:t>
            </w:r>
            <w:proofErr w:type="spellEnd"/>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3D8587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2018/2784</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DC5F20A"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£140,148.15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DE367A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£7,007.41</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80CAC5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93B64D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£35,037.04</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6973AD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2B8CAD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£98,103.70</w:t>
            </w:r>
          </w:p>
        </w:tc>
      </w:tr>
      <w:tr w:rsidRPr="00C36A42" w:rsidR="00164C21" w:rsidTr="00164C21" w14:paraId="2FE26BA1"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473F9FE2" w14:textId="77777777">
            <w:pPr>
              <w:spacing w:after="0" w:line="240" w:lineRule="auto"/>
              <w:rPr>
                <w:rFonts w:ascii="Arial" w:hAnsi="Arial" w:eastAsia="Times New Roman" w:cs="Arial"/>
                <w:color w:val="000000"/>
                <w:lang w:eastAsia="en-GB"/>
              </w:rPr>
            </w:pPr>
            <w:proofErr w:type="spellStart"/>
            <w:r w:rsidRPr="00C36A42">
              <w:rPr>
                <w:rFonts w:ascii="Arial" w:hAnsi="Arial" w:eastAsia="Times New Roman" w:cs="Arial"/>
                <w:color w:val="000000"/>
                <w:lang w:eastAsia="en-GB"/>
              </w:rPr>
              <w:t>Cringleford</w:t>
            </w:r>
            <w:proofErr w:type="spellEnd"/>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EE57E3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2018/2404</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528BB8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£27,271.52</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6AF347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£1,363.58</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A7B730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CF95C5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£6,817.88</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5584C7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7799F5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£19,090.06</w:t>
            </w:r>
          </w:p>
        </w:tc>
      </w:tr>
      <w:tr w:rsidRPr="00C36A42" w:rsidR="00164C21" w:rsidTr="00164C21" w14:paraId="0C054925"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1C47BA9C" w14:textId="77777777">
            <w:pPr>
              <w:spacing w:after="0" w:line="240" w:lineRule="auto"/>
              <w:rPr>
                <w:rFonts w:ascii="Arial" w:hAnsi="Arial" w:eastAsia="Times New Roman" w:cs="Arial"/>
                <w:color w:val="000000"/>
                <w:lang w:eastAsia="en-GB"/>
              </w:rPr>
            </w:pPr>
            <w:proofErr w:type="spellStart"/>
            <w:r w:rsidRPr="00C36A42">
              <w:rPr>
                <w:rFonts w:ascii="Arial" w:hAnsi="Arial" w:eastAsia="Times New Roman" w:cs="Arial"/>
                <w:color w:val="000000"/>
                <w:lang w:eastAsia="en-GB"/>
              </w:rPr>
              <w:t>Cringleford</w:t>
            </w:r>
            <w:proofErr w:type="spellEnd"/>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6CEB237"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2018/2783</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2979CA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£136,126.14</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D61A71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£6,806.31</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6549AFD"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6CAB02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£34,031.54</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8D3C22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ECAFAD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£95,288.29</w:t>
            </w:r>
          </w:p>
        </w:tc>
      </w:tr>
      <w:tr w:rsidRPr="00C36A42" w:rsidR="00164C21" w:rsidTr="00164C21" w14:paraId="62CF099A"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41D3D7C6" w14:textId="77777777">
            <w:pPr>
              <w:spacing w:after="0" w:line="240" w:lineRule="auto"/>
              <w:rPr>
                <w:rFonts w:ascii="Arial" w:hAnsi="Arial" w:eastAsia="Times New Roman" w:cs="Arial"/>
                <w:color w:val="000000"/>
                <w:lang w:eastAsia="en-GB"/>
              </w:rPr>
            </w:pPr>
            <w:proofErr w:type="spellStart"/>
            <w:r w:rsidRPr="00C36A42">
              <w:rPr>
                <w:rFonts w:ascii="Arial" w:hAnsi="Arial" w:eastAsia="Times New Roman" w:cs="Arial"/>
                <w:color w:val="000000"/>
                <w:lang w:eastAsia="en-GB"/>
              </w:rPr>
              <w:t>Cringleford</w:t>
            </w:r>
            <w:proofErr w:type="spellEnd"/>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7099DC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2018/2835</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6F67C6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£371,926.16</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90FAD1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£18,596.31</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96F7F1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56AFFB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£92,981.54</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4E0634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F4D47F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£260,348.31</w:t>
            </w:r>
          </w:p>
        </w:tc>
      </w:tr>
      <w:tr w:rsidRPr="00C36A42" w:rsidR="00164C21" w:rsidTr="00164C21" w14:paraId="6A6F5C6B"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3BB0333C"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Diss</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1AA59EA"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2019/0279</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F484D0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£11,405.06</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3C022D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£570.25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D048FE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£1,710.76</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310906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D811F1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D9223A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£9,124.05</w:t>
            </w:r>
          </w:p>
        </w:tc>
      </w:tr>
      <w:tr w:rsidRPr="00C36A42" w:rsidR="00164C21" w:rsidTr="00164C21" w14:paraId="1E31C689"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4D39541B"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Diss</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B5C647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2017/2577</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2877FE7"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£1,981.01</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34283C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£99.05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9C55DDA"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£297.15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3AE4CD7"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0C6830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A9CD8B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£1,584.81</w:t>
            </w:r>
          </w:p>
        </w:tc>
      </w:tr>
      <w:tr w:rsidRPr="00C36A42" w:rsidR="00164C21" w:rsidTr="00164C21" w14:paraId="78BB0AD7"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769A2D23" w14:textId="77777777">
            <w:pPr>
              <w:spacing w:after="0" w:line="240" w:lineRule="auto"/>
              <w:rPr>
                <w:rFonts w:ascii="Arial" w:hAnsi="Arial" w:eastAsia="Times New Roman" w:cs="Arial"/>
                <w:color w:val="000000"/>
                <w:lang w:eastAsia="en-GB"/>
              </w:rPr>
            </w:pPr>
            <w:proofErr w:type="spellStart"/>
            <w:r w:rsidRPr="00C36A42">
              <w:rPr>
                <w:rFonts w:ascii="Arial" w:hAnsi="Arial" w:eastAsia="Times New Roman" w:cs="Arial"/>
                <w:color w:val="000000"/>
                <w:lang w:eastAsia="en-GB"/>
              </w:rPr>
              <w:t>Flordon</w:t>
            </w:r>
            <w:proofErr w:type="spellEnd"/>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3C2A0D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2019/1664</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CA0F4C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£3,215.56</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5DC4C1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£160.78</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F60E71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£482.33</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38E9FD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197F62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DCBA66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£2,572.45</w:t>
            </w:r>
          </w:p>
        </w:tc>
      </w:tr>
      <w:tr w:rsidRPr="00C36A42" w:rsidR="00164C21" w:rsidTr="00164C21" w14:paraId="1623F6E0"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3A9BC301" w14:textId="77777777">
            <w:pPr>
              <w:spacing w:after="0" w:line="240" w:lineRule="auto"/>
              <w:rPr>
                <w:rFonts w:ascii="Arial" w:hAnsi="Arial" w:eastAsia="Times New Roman" w:cs="Arial"/>
                <w:color w:val="000000"/>
                <w:lang w:eastAsia="en-GB"/>
              </w:rPr>
            </w:pPr>
            <w:proofErr w:type="spellStart"/>
            <w:r w:rsidRPr="00C36A42">
              <w:rPr>
                <w:rFonts w:ascii="Arial" w:hAnsi="Arial" w:eastAsia="Times New Roman" w:cs="Arial"/>
                <w:color w:val="000000"/>
                <w:lang w:eastAsia="en-GB"/>
              </w:rPr>
              <w:t>Flordon</w:t>
            </w:r>
            <w:proofErr w:type="spellEnd"/>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494E29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2018/1318</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EC5A3E7"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£6,926.90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F2DC81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£346.35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A61AE6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£1,039.04</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06DCC3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F4119F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F8F43A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£5,541.51</w:t>
            </w:r>
          </w:p>
        </w:tc>
      </w:tr>
      <w:tr w:rsidRPr="00C36A42" w:rsidR="00164C21" w:rsidTr="00164C21" w14:paraId="164655A8"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7CC2BD99"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Little Melton</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5F088B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2015/1697</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7B9071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£60,141.26</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051721D"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£3,007.06</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F93B94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£9,021.19</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1386EA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CF8DE0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26B37B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£48,113.01</w:t>
            </w:r>
          </w:p>
        </w:tc>
      </w:tr>
      <w:tr w:rsidRPr="00C36A42" w:rsidR="00164C21" w:rsidTr="00164C21" w14:paraId="6C3B72EB"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2350DB96"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Loddon</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004BCE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2019/2331</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0CF67E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£3,595.95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FD199C7"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£179.80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7053C1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£539.39</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EDFFB3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1B4500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D6F91D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£2,876.76</w:t>
            </w:r>
          </w:p>
        </w:tc>
      </w:tr>
      <w:tr w:rsidRPr="00C36A42" w:rsidR="00164C21" w:rsidTr="00164C21" w14:paraId="127538DE"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3FB4A505"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Poringland</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02B903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2017/2006</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247D72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£5,354.61</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9150EB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£267.73</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7E15FF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£803.19</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C2B3B0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184738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14FEE4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£4,283.69</w:t>
            </w:r>
          </w:p>
        </w:tc>
      </w:tr>
      <w:tr w:rsidRPr="00C36A42" w:rsidR="00164C21" w:rsidTr="00164C21" w14:paraId="52AD820E"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36136807"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Pulham Market</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18AA40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2017/2318</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EC4091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£6,000.00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19EBCE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£300.00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1C1F78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£900.00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94201C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44B4CA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7C81A7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£4,800.00</w:t>
            </w:r>
          </w:p>
        </w:tc>
      </w:tr>
      <w:tr w:rsidRPr="00C36A42" w:rsidR="00164C21" w:rsidTr="00164C21" w14:paraId="0D9CC9B9"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6563401B"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Pulham Market</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B9F30AA"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2018/0598</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51AAFF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£48,706.33</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BDD782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£2,435.32</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A56B5A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£7,305.95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B838077"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EE422E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11CEC2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£38,965.06</w:t>
            </w:r>
          </w:p>
        </w:tc>
      </w:tr>
      <w:tr w:rsidRPr="00C36A42" w:rsidR="00164C21" w:rsidTr="00164C21" w14:paraId="5550E1A1"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52F3761A" w14:textId="77777777">
            <w:pPr>
              <w:spacing w:after="0" w:line="240" w:lineRule="auto"/>
              <w:rPr>
                <w:rFonts w:ascii="Arial" w:hAnsi="Arial" w:eastAsia="Times New Roman" w:cs="Arial"/>
                <w:color w:val="000000"/>
                <w:lang w:eastAsia="en-GB"/>
              </w:rPr>
            </w:pPr>
            <w:proofErr w:type="spellStart"/>
            <w:r w:rsidRPr="00C36A42">
              <w:rPr>
                <w:rFonts w:ascii="Arial" w:hAnsi="Arial" w:eastAsia="Times New Roman" w:cs="Arial"/>
                <w:color w:val="000000"/>
                <w:lang w:eastAsia="en-GB"/>
              </w:rPr>
              <w:t>Redenhall</w:t>
            </w:r>
            <w:proofErr w:type="spellEnd"/>
            <w:r w:rsidRPr="00C36A42">
              <w:rPr>
                <w:rFonts w:ascii="Arial" w:hAnsi="Arial" w:eastAsia="Times New Roman" w:cs="Arial"/>
                <w:color w:val="000000"/>
                <w:lang w:eastAsia="en-GB"/>
              </w:rPr>
              <w:t xml:space="preserve"> with Harleston</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106B09D"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2019/2462</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8B269D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£1,413.30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F92A7F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£70.67</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8432A57"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£212.00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3BC237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3AA9B7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31A5C3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£1,130.63</w:t>
            </w:r>
          </w:p>
        </w:tc>
      </w:tr>
      <w:tr w:rsidRPr="00C36A42" w:rsidR="00164C21" w:rsidTr="00164C21" w14:paraId="4219FEE1"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1AECBF1F" w14:textId="77777777">
            <w:pPr>
              <w:spacing w:after="0" w:line="240" w:lineRule="auto"/>
              <w:rPr>
                <w:rFonts w:ascii="Arial" w:hAnsi="Arial" w:eastAsia="Times New Roman" w:cs="Arial"/>
                <w:color w:val="000000"/>
                <w:lang w:eastAsia="en-GB"/>
              </w:rPr>
            </w:pPr>
            <w:proofErr w:type="spellStart"/>
            <w:r w:rsidRPr="00C36A42">
              <w:rPr>
                <w:rFonts w:ascii="Arial" w:hAnsi="Arial" w:eastAsia="Times New Roman" w:cs="Arial"/>
                <w:color w:val="000000"/>
                <w:lang w:eastAsia="en-GB"/>
              </w:rPr>
              <w:t>Redenhall</w:t>
            </w:r>
            <w:proofErr w:type="spellEnd"/>
            <w:r w:rsidRPr="00C36A42">
              <w:rPr>
                <w:rFonts w:ascii="Arial" w:hAnsi="Arial" w:eastAsia="Times New Roman" w:cs="Arial"/>
                <w:color w:val="000000"/>
                <w:lang w:eastAsia="en-GB"/>
              </w:rPr>
              <w:t xml:space="preserve"> with Harleston</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76CD5B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2015/1461</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550867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£44,981.65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D43055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£2,249.08</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F3044A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£6,747.25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9C68C0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0F73FA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852231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£35,985.32</w:t>
            </w:r>
          </w:p>
        </w:tc>
      </w:tr>
      <w:tr w:rsidRPr="00C36A42" w:rsidR="00164C21" w:rsidTr="00164C21" w14:paraId="48E79F45"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7A53D46D" w14:textId="77777777">
            <w:pPr>
              <w:spacing w:after="0" w:line="240" w:lineRule="auto"/>
              <w:rPr>
                <w:rFonts w:ascii="Arial" w:hAnsi="Arial" w:eastAsia="Times New Roman" w:cs="Arial"/>
                <w:color w:val="000000"/>
                <w:lang w:eastAsia="en-GB"/>
              </w:rPr>
            </w:pPr>
            <w:proofErr w:type="spellStart"/>
            <w:r w:rsidRPr="00C36A42">
              <w:rPr>
                <w:rFonts w:ascii="Arial" w:hAnsi="Arial" w:eastAsia="Times New Roman" w:cs="Arial"/>
                <w:color w:val="000000"/>
                <w:lang w:eastAsia="en-GB"/>
              </w:rPr>
              <w:t>Shotesham</w:t>
            </w:r>
            <w:proofErr w:type="spellEnd"/>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D095FD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2017/1487</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BAFB4A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£1,502.41</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EB2E90D"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£75.12</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0A364F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£225.36</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76588B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D3A894D"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9B2515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£1,201.93</w:t>
            </w:r>
          </w:p>
        </w:tc>
      </w:tr>
      <w:tr w:rsidRPr="00C36A42" w:rsidR="00164C21" w:rsidTr="00164C21" w14:paraId="384946C8"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78D5EF1B"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Tasburgh</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242E53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2017/2097</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B60DD2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£17,234.81</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E11F1E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£861.74</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179C34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£2,585.22</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745094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E80DEA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0E97C1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£13,787.85</w:t>
            </w:r>
          </w:p>
        </w:tc>
      </w:tr>
      <w:tr w:rsidRPr="00C36A42" w:rsidR="00164C21" w:rsidTr="00164C21" w14:paraId="40718251"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6E2D3FBE"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Tasburgh</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8F35B1A"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2019/0134</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AFAD0B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£45,486.08</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324940D"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£2,274.30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D50A5B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£6,822.91</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9F1518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9D1031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270E79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£36,388.87</w:t>
            </w:r>
          </w:p>
        </w:tc>
      </w:tr>
      <w:tr w:rsidRPr="00C36A42" w:rsidR="00164C21" w:rsidTr="00164C21" w14:paraId="45CC2997"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5DA13DEF"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Tasburgh</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DD1E8D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2019/0134</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8DF6DD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£15,162.02</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E854E6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£758.10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B1DD74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£2,274.30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2D997E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0A5B7E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08D3F9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£12,129.62</w:t>
            </w:r>
          </w:p>
        </w:tc>
      </w:tr>
      <w:tr w:rsidRPr="00C36A42" w:rsidR="00164C21" w:rsidTr="00164C21" w14:paraId="06530B25"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44645B20"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Tasburgh</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908B4B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2019/1112</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E08AA8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£872.15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D8256FA"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£43.61</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C4FAA8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£130.82</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74E0B0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80A13C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5A5023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£697.72</w:t>
            </w:r>
          </w:p>
        </w:tc>
      </w:tr>
      <w:tr w:rsidRPr="00C36A42" w:rsidR="00164C21" w:rsidTr="00164C21" w14:paraId="3C7B7FE8"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3ADF3407" w14:textId="77777777">
            <w:pPr>
              <w:spacing w:after="0" w:line="240" w:lineRule="auto"/>
              <w:rPr>
                <w:rFonts w:ascii="Arial" w:hAnsi="Arial" w:eastAsia="Times New Roman" w:cs="Arial"/>
                <w:color w:val="000000"/>
                <w:lang w:eastAsia="en-GB"/>
              </w:rPr>
            </w:pPr>
            <w:proofErr w:type="spellStart"/>
            <w:r w:rsidRPr="00C36A42">
              <w:rPr>
                <w:rFonts w:ascii="Arial" w:hAnsi="Arial" w:eastAsia="Times New Roman" w:cs="Arial"/>
                <w:color w:val="000000"/>
                <w:lang w:eastAsia="en-GB"/>
              </w:rPr>
              <w:t>Tharston</w:t>
            </w:r>
            <w:proofErr w:type="spellEnd"/>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FDBC31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2019/1852</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CD90FD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£30,859.42</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E40AE6D"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£1,542.97</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2705BD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£4,628.91</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B805BEA"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652EFC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6C69CD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£24,687.54</w:t>
            </w:r>
          </w:p>
        </w:tc>
      </w:tr>
      <w:tr w:rsidRPr="00C36A42" w:rsidR="00164C21" w:rsidTr="00164C21" w14:paraId="161192FB"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68E6A9BE" w14:textId="77777777">
            <w:pPr>
              <w:spacing w:after="0" w:line="240" w:lineRule="auto"/>
              <w:rPr>
                <w:rFonts w:ascii="Arial" w:hAnsi="Arial" w:eastAsia="Times New Roman" w:cs="Arial"/>
                <w:color w:val="000000"/>
                <w:lang w:eastAsia="en-GB"/>
              </w:rPr>
            </w:pPr>
            <w:proofErr w:type="spellStart"/>
            <w:r w:rsidRPr="00C36A42">
              <w:rPr>
                <w:rFonts w:ascii="Arial" w:hAnsi="Arial" w:eastAsia="Times New Roman" w:cs="Arial"/>
                <w:color w:val="000000"/>
                <w:lang w:eastAsia="en-GB"/>
              </w:rPr>
              <w:t>Thurlton</w:t>
            </w:r>
            <w:proofErr w:type="spellEnd"/>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40ABC4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2019/1265</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AE6035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£563.54</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51A7A0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£28.18</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3C7D6C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£84.53</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48661C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262344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C7CAD4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£450.83</w:t>
            </w:r>
          </w:p>
        </w:tc>
      </w:tr>
      <w:tr w:rsidRPr="00C36A42" w:rsidR="00164C21" w:rsidTr="00164C21" w14:paraId="5595E854"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3B407483" w14:textId="77777777">
            <w:pPr>
              <w:spacing w:after="0" w:line="240" w:lineRule="auto"/>
              <w:rPr>
                <w:rFonts w:ascii="Arial" w:hAnsi="Arial" w:eastAsia="Times New Roman" w:cs="Arial"/>
                <w:color w:val="000000"/>
                <w:lang w:eastAsia="en-GB"/>
              </w:rPr>
            </w:pPr>
            <w:proofErr w:type="spellStart"/>
            <w:r w:rsidRPr="00C36A42">
              <w:rPr>
                <w:rFonts w:ascii="Arial" w:hAnsi="Arial" w:eastAsia="Times New Roman" w:cs="Arial"/>
                <w:color w:val="000000"/>
                <w:lang w:eastAsia="en-GB"/>
              </w:rPr>
              <w:lastRenderedPageBreak/>
              <w:t>Trowse</w:t>
            </w:r>
            <w:proofErr w:type="spellEnd"/>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2C28A7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2018/1246</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C4634D7"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£229,139.77</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C661ED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£11,456.99</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4BA900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£34,370.97</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4350A0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1CF91ED"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31E1EF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£183,311.81</w:t>
            </w:r>
          </w:p>
        </w:tc>
      </w:tr>
      <w:tr w:rsidRPr="00C36A42" w:rsidR="00164C21" w:rsidTr="00164C21" w14:paraId="347A2C12"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72FEC41E" w14:textId="77777777">
            <w:pPr>
              <w:spacing w:after="0" w:line="240" w:lineRule="auto"/>
              <w:rPr>
                <w:rFonts w:ascii="Arial" w:hAnsi="Arial" w:eastAsia="Times New Roman" w:cs="Arial"/>
                <w:color w:val="000000"/>
                <w:lang w:eastAsia="en-GB"/>
              </w:rPr>
            </w:pPr>
            <w:proofErr w:type="spellStart"/>
            <w:r w:rsidRPr="00C36A42">
              <w:rPr>
                <w:rFonts w:ascii="Arial" w:hAnsi="Arial" w:eastAsia="Times New Roman" w:cs="Arial"/>
                <w:color w:val="000000"/>
                <w:lang w:eastAsia="en-GB"/>
              </w:rPr>
              <w:t>Wicklewood</w:t>
            </w:r>
            <w:proofErr w:type="spellEnd"/>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2B6986D"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2019/1779</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2026C3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£6,037.97</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1FEFD1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£301.90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E3FECD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£905.70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56CCDC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A1EA8C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53CB1B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£4,830.37</w:t>
            </w:r>
          </w:p>
        </w:tc>
      </w:tr>
      <w:tr w:rsidRPr="00C36A42" w:rsidR="00164C21" w:rsidTr="00164C21" w14:paraId="0517754F"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4DF974BF" w14:textId="77777777">
            <w:pPr>
              <w:spacing w:after="0" w:line="240" w:lineRule="auto"/>
              <w:rPr>
                <w:rFonts w:ascii="Arial" w:hAnsi="Arial" w:eastAsia="Times New Roman" w:cs="Arial"/>
                <w:color w:val="000000"/>
                <w:lang w:eastAsia="en-GB"/>
              </w:rPr>
            </w:pPr>
            <w:proofErr w:type="spellStart"/>
            <w:r w:rsidRPr="00C36A42">
              <w:rPr>
                <w:rFonts w:ascii="Arial" w:hAnsi="Arial" w:eastAsia="Times New Roman" w:cs="Arial"/>
                <w:color w:val="000000"/>
                <w:lang w:eastAsia="en-GB"/>
              </w:rPr>
              <w:t>Wicklewood</w:t>
            </w:r>
            <w:proofErr w:type="spellEnd"/>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600A4CA"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2019/2049</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1BEDEA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£1,132.46</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271987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£56.62</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AF2221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£169.87</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612633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A74D17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E9429E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£905.97</w:t>
            </w:r>
          </w:p>
        </w:tc>
      </w:tr>
      <w:tr w:rsidRPr="00C36A42" w:rsidR="00164C21" w:rsidTr="00164C21" w14:paraId="32BE86DC"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6FFBFFA2" w14:textId="77777777">
            <w:pPr>
              <w:spacing w:after="0" w:line="240" w:lineRule="auto"/>
              <w:rPr>
                <w:rFonts w:ascii="Arial" w:hAnsi="Arial" w:eastAsia="Times New Roman" w:cs="Arial"/>
                <w:color w:val="000000"/>
                <w:lang w:eastAsia="en-GB"/>
              </w:rPr>
            </w:pPr>
            <w:proofErr w:type="spellStart"/>
            <w:r w:rsidRPr="00C36A42">
              <w:rPr>
                <w:rFonts w:ascii="Arial" w:hAnsi="Arial" w:eastAsia="Times New Roman" w:cs="Arial"/>
                <w:color w:val="000000"/>
                <w:lang w:eastAsia="en-GB"/>
              </w:rPr>
              <w:t>Wortwell</w:t>
            </w:r>
            <w:proofErr w:type="spellEnd"/>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18AE2F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2016/1362</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830D90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£19,047.05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5035C4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£952.35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CF6FA9D"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£2,857.06</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9F91A1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46A17D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521F4F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£15,237.64</w:t>
            </w:r>
          </w:p>
        </w:tc>
      </w:tr>
      <w:tr w:rsidRPr="00C36A42" w:rsidR="00164C21" w:rsidTr="00164C21" w14:paraId="54DE7FE9"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52488082" w14:textId="77777777">
            <w:pPr>
              <w:spacing w:after="0" w:line="240" w:lineRule="auto"/>
              <w:rPr>
                <w:rFonts w:ascii="Arial" w:hAnsi="Arial" w:eastAsia="Times New Roman" w:cs="Arial"/>
                <w:color w:val="000000"/>
                <w:lang w:eastAsia="en-GB"/>
              </w:rPr>
            </w:pPr>
            <w:proofErr w:type="spellStart"/>
            <w:r w:rsidRPr="00C36A42">
              <w:rPr>
                <w:rFonts w:ascii="Arial" w:hAnsi="Arial" w:eastAsia="Times New Roman" w:cs="Arial"/>
                <w:color w:val="000000"/>
                <w:lang w:eastAsia="en-GB"/>
              </w:rPr>
              <w:t>Wreningham</w:t>
            </w:r>
            <w:proofErr w:type="spellEnd"/>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276EC3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2018/2301</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750F6E2"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£43,121.20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81C347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£2,156.06</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D147B9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£6,468.18</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5D60D9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FD473D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46C96B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£34,496.96</w:t>
            </w:r>
          </w:p>
        </w:tc>
      </w:tr>
      <w:tr w:rsidRPr="00C36A42" w:rsidR="00164C21" w:rsidTr="00164C21" w14:paraId="7CD85166"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76DDE588"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Wymondham</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9BB951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2019/2317</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C53181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£979.45</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ACF7BC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£48.97</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4CB4F7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£146.92</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6B546F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370B32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5947EF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£783.56</w:t>
            </w:r>
          </w:p>
        </w:tc>
      </w:tr>
      <w:tr w:rsidRPr="00C36A42" w:rsidR="00164C21" w:rsidTr="00164C21" w14:paraId="715A4BC3"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11B7BDAE"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Wymondham</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0F466F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2018/0364</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B20139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£45,092.80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89D32B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£2,254.64</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1B0928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£6,763.92</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DF1B695"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CF649C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F79DE8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£36,074.24</w:t>
            </w:r>
          </w:p>
        </w:tc>
      </w:tr>
      <w:tr w:rsidRPr="00C36A42" w:rsidR="00164C21" w:rsidTr="00164C21" w14:paraId="00FEC44A"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30196191"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Wymondham</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8C0B68A"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2018/2758</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427B52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£855,584.03</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25E98E0"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£42,779.20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21BAA4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£128,337.60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A5F7A7F"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BEB2FC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894D6BB"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£684,467.23</w:t>
            </w:r>
          </w:p>
        </w:tc>
      </w:tr>
      <w:tr w:rsidRPr="00C36A42" w:rsidR="00164C21" w:rsidTr="00164C21" w14:paraId="31353826"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48BD0434"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Spooner Row</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6571703"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2016/2424</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61A7E0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£22,219.30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1624F6D"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£1,110.97</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138DE3DD"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£3,332.90</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56B51E7"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131E2B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31D41BA4"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£17,775.43</w:t>
            </w:r>
          </w:p>
        </w:tc>
      </w:tr>
      <w:tr w:rsidRPr="00C36A42" w:rsidR="00164C21" w:rsidTr="00164C21" w14:paraId="1E29646F" w14:textId="77777777">
        <w:trPr>
          <w:trHeight w:val="300"/>
        </w:trPr>
        <w:tc>
          <w:tcPr>
            <w:tcW w:w="2607" w:type="dxa"/>
            <w:tcBorders>
              <w:top w:val="nil"/>
              <w:left w:val="single" w:color="auto" w:sz="4" w:space="0"/>
              <w:bottom w:val="single" w:color="auto" w:sz="4" w:space="0"/>
              <w:right w:val="single" w:color="auto" w:sz="4" w:space="0"/>
            </w:tcBorders>
            <w:shd w:val="clear" w:color="auto" w:fill="auto"/>
            <w:noWrap/>
            <w:vAlign w:val="bottom"/>
            <w:hideMark/>
          </w:tcPr>
          <w:p w:rsidRPr="00C36A42" w:rsidR="00164C21" w:rsidP="00164C21" w:rsidRDefault="00164C21" w14:paraId="61B7CDEA" w14:textId="77777777">
            <w:pPr>
              <w:spacing w:after="0" w:line="240" w:lineRule="auto"/>
              <w:rPr>
                <w:rFonts w:ascii="Arial" w:hAnsi="Arial" w:eastAsia="Times New Roman" w:cs="Arial"/>
                <w:color w:val="000000"/>
                <w:lang w:eastAsia="en-GB"/>
              </w:rPr>
            </w:pPr>
            <w:r w:rsidRPr="00C36A42">
              <w:rPr>
                <w:rFonts w:ascii="Arial" w:hAnsi="Arial" w:eastAsia="Times New Roman" w:cs="Arial"/>
                <w:color w:val="000000"/>
                <w:lang w:eastAsia="en-GB"/>
              </w:rPr>
              <w:t>Spooner Row</w:t>
            </w:r>
          </w:p>
        </w:tc>
        <w:tc>
          <w:tcPr>
            <w:tcW w:w="166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6363681E"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2018/1622</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79E262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£4,830.38</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0929BB06"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£241.52</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20F8928C"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£724.56</w:t>
            </w:r>
          </w:p>
        </w:tc>
        <w:tc>
          <w:tcPr>
            <w:tcW w:w="133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7B1AD5A1"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32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4F827A59"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 </w:t>
            </w:r>
          </w:p>
        </w:tc>
        <w:tc>
          <w:tcPr>
            <w:tcW w:w="1500" w:type="dxa"/>
            <w:tcBorders>
              <w:top w:val="nil"/>
              <w:left w:val="nil"/>
              <w:bottom w:val="single" w:color="auto" w:sz="4" w:space="0"/>
              <w:right w:val="single" w:color="auto" w:sz="4" w:space="0"/>
            </w:tcBorders>
            <w:shd w:val="clear" w:color="auto" w:fill="auto"/>
            <w:noWrap/>
            <w:vAlign w:val="bottom"/>
            <w:hideMark/>
          </w:tcPr>
          <w:p w:rsidRPr="00C36A42" w:rsidR="00164C21" w:rsidP="00164C21" w:rsidRDefault="00164C21" w14:paraId="5B9C81B8" w14:textId="77777777">
            <w:pPr>
              <w:spacing w:after="0" w:line="240" w:lineRule="auto"/>
              <w:jc w:val="center"/>
              <w:rPr>
                <w:rFonts w:ascii="Arial" w:hAnsi="Arial" w:eastAsia="Times New Roman" w:cs="Arial"/>
                <w:color w:val="000000"/>
                <w:lang w:eastAsia="en-GB"/>
              </w:rPr>
            </w:pPr>
            <w:r w:rsidRPr="00C36A42">
              <w:rPr>
                <w:rFonts w:ascii="Arial" w:hAnsi="Arial" w:eastAsia="Times New Roman" w:cs="Arial"/>
                <w:color w:val="000000"/>
                <w:lang w:eastAsia="en-GB"/>
              </w:rPr>
              <w:t>£3,864.30</w:t>
            </w:r>
          </w:p>
        </w:tc>
      </w:tr>
      <w:tr w:rsidRPr="00C36A42" w:rsidR="00164C21" w:rsidTr="00164C21" w14:paraId="52505CD9" w14:textId="77777777">
        <w:trPr>
          <w:trHeight w:val="300"/>
        </w:trPr>
        <w:tc>
          <w:tcPr>
            <w:tcW w:w="2607" w:type="dxa"/>
            <w:tcBorders>
              <w:top w:val="nil"/>
              <w:left w:val="nil"/>
              <w:bottom w:val="nil"/>
              <w:right w:val="nil"/>
            </w:tcBorders>
            <w:shd w:val="clear" w:color="auto" w:fill="auto"/>
            <w:noWrap/>
            <w:vAlign w:val="bottom"/>
            <w:hideMark/>
          </w:tcPr>
          <w:p w:rsidRPr="00C36A42" w:rsidR="00FB3BF4" w:rsidP="00164C21" w:rsidRDefault="00FB3BF4" w14:paraId="34FEC214" w14:textId="00F22F5E">
            <w:pPr>
              <w:spacing w:after="0" w:line="240" w:lineRule="auto"/>
              <w:jc w:val="center"/>
              <w:rPr>
                <w:rFonts w:ascii="Arial" w:hAnsi="Arial" w:eastAsia="Times New Roman" w:cs="Arial"/>
                <w:color w:val="000000"/>
                <w:lang w:eastAsia="en-GB"/>
              </w:rPr>
            </w:pPr>
          </w:p>
        </w:tc>
        <w:tc>
          <w:tcPr>
            <w:tcW w:w="1660" w:type="dxa"/>
            <w:tcBorders>
              <w:top w:val="nil"/>
              <w:left w:val="nil"/>
              <w:bottom w:val="nil"/>
              <w:right w:val="nil"/>
            </w:tcBorders>
            <w:shd w:val="clear" w:color="auto" w:fill="auto"/>
            <w:noWrap/>
            <w:vAlign w:val="bottom"/>
            <w:hideMark/>
          </w:tcPr>
          <w:p w:rsidRPr="00C36A42" w:rsidR="00164C21" w:rsidP="00164C21" w:rsidRDefault="00164C21" w14:paraId="2C68453F" w14:textId="77777777">
            <w:pPr>
              <w:spacing w:after="0" w:line="240" w:lineRule="auto"/>
              <w:rPr>
                <w:rFonts w:ascii="Arial" w:hAnsi="Arial" w:eastAsia="Times New Roman" w:cs="Arial"/>
                <w:lang w:eastAsia="en-GB"/>
              </w:rPr>
            </w:pPr>
          </w:p>
        </w:tc>
        <w:tc>
          <w:tcPr>
            <w:tcW w:w="1500" w:type="dxa"/>
            <w:tcBorders>
              <w:top w:val="nil"/>
              <w:left w:val="nil"/>
              <w:bottom w:val="nil"/>
              <w:right w:val="nil"/>
            </w:tcBorders>
            <w:shd w:val="clear" w:color="auto" w:fill="auto"/>
            <w:noWrap/>
            <w:vAlign w:val="bottom"/>
            <w:hideMark/>
          </w:tcPr>
          <w:p w:rsidRPr="00C36A42" w:rsidR="00164C21" w:rsidP="00164C21" w:rsidRDefault="00164C21" w14:paraId="37353C68" w14:textId="77777777">
            <w:pPr>
              <w:spacing w:after="0" w:line="240" w:lineRule="auto"/>
              <w:jc w:val="right"/>
              <w:rPr>
                <w:rFonts w:ascii="Arial" w:hAnsi="Arial" w:eastAsia="Times New Roman" w:cs="Arial"/>
                <w:color w:val="000000"/>
                <w:lang w:eastAsia="en-GB"/>
              </w:rPr>
            </w:pPr>
            <w:r w:rsidRPr="00C36A42">
              <w:rPr>
                <w:rFonts w:ascii="Arial" w:hAnsi="Arial" w:eastAsia="Times New Roman" w:cs="Arial"/>
                <w:color w:val="000000"/>
                <w:lang w:eastAsia="en-GB"/>
              </w:rPr>
              <w:t>£4,404,042.35</w:t>
            </w:r>
          </w:p>
        </w:tc>
        <w:tc>
          <w:tcPr>
            <w:tcW w:w="1330" w:type="dxa"/>
            <w:tcBorders>
              <w:top w:val="nil"/>
              <w:left w:val="nil"/>
              <w:bottom w:val="nil"/>
              <w:right w:val="nil"/>
            </w:tcBorders>
            <w:shd w:val="clear" w:color="auto" w:fill="auto"/>
            <w:noWrap/>
            <w:vAlign w:val="bottom"/>
            <w:hideMark/>
          </w:tcPr>
          <w:p w:rsidRPr="00C36A42" w:rsidR="00164C21" w:rsidP="00164C21" w:rsidRDefault="00164C21" w14:paraId="105B364E" w14:textId="77777777">
            <w:pPr>
              <w:spacing w:after="0" w:line="240" w:lineRule="auto"/>
              <w:jc w:val="right"/>
              <w:rPr>
                <w:rFonts w:ascii="Arial" w:hAnsi="Arial" w:eastAsia="Times New Roman" w:cs="Arial"/>
                <w:color w:val="000000"/>
                <w:lang w:eastAsia="en-GB"/>
              </w:rPr>
            </w:pPr>
            <w:r w:rsidRPr="00C36A42">
              <w:rPr>
                <w:rFonts w:ascii="Arial" w:hAnsi="Arial" w:eastAsia="Times New Roman" w:cs="Arial"/>
                <w:color w:val="000000"/>
                <w:lang w:eastAsia="en-GB"/>
              </w:rPr>
              <w:t>£220,202.18</w:t>
            </w:r>
          </w:p>
        </w:tc>
        <w:tc>
          <w:tcPr>
            <w:tcW w:w="1330" w:type="dxa"/>
            <w:tcBorders>
              <w:top w:val="nil"/>
              <w:left w:val="nil"/>
              <w:bottom w:val="nil"/>
              <w:right w:val="nil"/>
            </w:tcBorders>
            <w:shd w:val="clear" w:color="auto" w:fill="auto"/>
            <w:noWrap/>
            <w:vAlign w:val="bottom"/>
            <w:hideMark/>
          </w:tcPr>
          <w:p w:rsidRPr="00C36A42" w:rsidR="00164C21" w:rsidP="00164C21" w:rsidRDefault="00164C21" w14:paraId="163EFD9E" w14:textId="77777777">
            <w:pPr>
              <w:spacing w:after="0" w:line="240" w:lineRule="auto"/>
              <w:jc w:val="right"/>
              <w:rPr>
                <w:rFonts w:ascii="Arial" w:hAnsi="Arial" w:eastAsia="Times New Roman" w:cs="Arial"/>
                <w:color w:val="000000"/>
                <w:lang w:eastAsia="en-GB"/>
              </w:rPr>
            </w:pPr>
            <w:r w:rsidRPr="00C36A42">
              <w:rPr>
                <w:rFonts w:ascii="Arial" w:hAnsi="Arial" w:eastAsia="Times New Roman" w:cs="Arial"/>
                <w:color w:val="000000"/>
                <w:lang w:eastAsia="en-GB"/>
              </w:rPr>
              <w:t>£439,310.52</w:t>
            </w:r>
          </w:p>
        </w:tc>
        <w:tc>
          <w:tcPr>
            <w:tcW w:w="1330" w:type="dxa"/>
            <w:tcBorders>
              <w:top w:val="nil"/>
              <w:left w:val="nil"/>
              <w:bottom w:val="nil"/>
              <w:right w:val="nil"/>
            </w:tcBorders>
            <w:shd w:val="clear" w:color="auto" w:fill="auto"/>
            <w:noWrap/>
            <w:vAlign w:val="bottom"/>
            <w:hideMark/>
          </w:tcPr>
          <w:p w:rsidRPr="00C36A42" w:rsidR="00164C21" w:rsidP="00164C21" w:rsidRDefault="00164C21" w14:paraId="0994617B" w14:textId="77777777">
            <w:pPr>
              <w:spacing w:after="0" w:line="240" w:lineRule="auto"/>
              <w:jc w:val="right"/>
              <w:rPr>
                <w:rFonts w:ascii="Arial" w:hAnsi="Arial" w:eastAsia="Times New Roman" w:cs="Arial"/>
                <w:color w:val="000000"/>
                <w:lang w:eastAsia="en-GB"/>
              </w:rPr>
            </w:pPr>
            <w:r w:rsidRPr="00C36A42">
              <w:rPr>
                <w:rFonts w:ascii="Arial" w:hAnsi="Arial" w:eastAsia="Times New Roman" w:cs="Arial"/>
                <w:color w:val="000000"/>
                <w:lang w:eastAsia="en-GB"/>
              </w:rPr>
              <w:t>£368,213.12</w:t>
            </w:r>
          </w:p>
        </w:tc>
        <w:tc>
          <w:tcPr>
            <w:tcW w:w="1320" w:type="dxa"/>
            <w:tcBorders>
              <w:top w:val="nil"/>
              <w:left w:val="nil"/>
              <w:bottom w:val="nil"/>
              <w:right w:val="nil"/>
            </w:tcBorders>
            <w:shd w:val="clear" w:color="auto" w:fill="auto"/>
            <w:noWrap/>
            <w:vAlign w:val="bottom"/>
            <w:hideMark/>
          </w:tcPr>
          <w:p w:rsidRPr="00C36A42" w:rsidR="00164C21" w:rsidP="00164C21" w:rsidRDefault="00164C21" w14:paraId="1C6C5F50" w14:textId="77777777">
            <w:pPr>
              <w:spacing w:after="0" w:line="240" w:lineRule="auto"/>
              <w:jc w:val="right"/>
              <w:rPr>
                <w:rFonts w:ascii="Arial" w:hAnsi="Arial" w:eastAsia="Times New Roman" w:cs="Arial"/>
                <w:color w:val="000000"/>
                <w:lang w:eastAsia="en-GB"/>
              </w:rPr>
            </w:pPr>
            <w:r w:rsidRPr="00C36A42">
              <w:rPr>
                <w:rFonts w:ascii="Arial" w:hAnsi="Arial" w:eastAsia="Times New Roman" w:cs="Arial"/>
                <w:color w:val="000000"/>
                <w:lang w:eastAsia="en-GB"/>
              </w:rPr>
              <w:t>£367.97</w:t>
            </w:r>
          </w:p>
        </w:tc>
        <w:tc>
          <w:tcPr>
            <w:tcW w:w="1500" w:type="dxa"/>
            <w:tcBorders>
              <w:top w:val="nil"/>
              <w:left w:val="nil"/>
              <w:bottom w:val="nil"/>
              <w:right w:val="nil"/>
            </w:tcBorders>
            <w:shd w:val="clear" w:color="auto" w:fill="auto"/>
            <w:noWrap/>
            <w:vAlign w:val="bottom"/>
            <w:hideMark/>
          </w:tcPr>
          <w:p w:rsidRPr="00C36A42" w:rsidR="00164C21" w:rsidP="00164C21" w:rsidRDefault="00164C21" w14:paraId="04913950" w14:textId="77777777">
            <w:pPr>
              <w:spacing w:after="0" w:line="240" w:lineRule="auto"/>
              <w:jc w:val="right"/>
              <w:rPr>
                <w:rFonts w:ascii="Arial" w:hAnsi="Arial" w:eastAsia="Times New Roman" w:cs="Arial"/>
                <w:color w:val="000000"/>
                <w:lang w:eastAsia="en-GB"/>
              </w:rPr>
            </w:pPr>
            <w:r w:rsidRPr="00C36A42">
              <w:rPr>
                <w:rFonts w:ascii="Arial" w:hAnsi="Arial" w:eastAsia="Times New Roman" w:cs="Arial"/>
                <w:color w:val="000000"/>
                <w:lang w:eastAsia="en-GB"/>
              </w:rPr>
              <w:t>£3,375,948.55</w:t>
            </w:r>
          </w:p>
        </w:tc>
      </w:tr>
    </w:tbl>
    <w:p w:rsidR="00164C21" w:rsidP="00C027B6" w:rsidRDefault="00164C21" w14:paraId="5F65A388" w14:textId="081448DF">
      <w:pPr>
        <w:spacing w:after="0" w:line="240" w:lineRule="auto"/>
        <w:rPr>
          <w:rFonts w:ascii="Arial" w:hAnsi="Arial" w:eastAsia="Times New Roman" w:cs="Arial"/>
          <w:lang w:eastAsia="en-GB"/>
        </w:rPr>
      </w:pPr>
    </w:p>
    <w:p w:rsidRPr="008B6B9D" w:rsidR="00FB3BF4" w:rsidP="00C027B6" w:rsidRDefault="00FB3BF4" w14:paraId="0D3C5866" w14:textId="5D5FA8AA">
      <w:pPr>
        <w:spacing w:after="0" w:line="240" w:lineRule="auto"/>
        <w:rPr>
          <w:rFonts w:ascii="Arial" w:hAnsi="Arial" w:eastAsia="Times New Roman" w:cs="Arial"/>
          <w:lang w:eastAsia="en-GB"/>
        </w:rPr>
      </w:pPr>
      <w:r w:rsidRPr="008B6B9D">
        <w:rPr>
          <w:rFonts w:ascii="Arial" w:hAnsi="Arial" w:eastAsia="Times New Roman" w:cs="Arial"/>
          <w:lang w:eastAsia="en-GB"/>
        </w:rPr>
        <w:t xml:space="preserve">Funds were distributed to parishes and the GNGB in October 2019 and April 2020 </w:t>
      </w:r>
    </w:p>
    <w:p w:rsidR="00164C21" w:rsidP="00C027B6" w:rsidRDefault="00164C21" w14:paraId="73565DD0" w14:textId="77777777">
      <w:pPr>
        <w:spacing w:after="0" w:line="240" w:lineRule="auto"/>
        <w:rPr>
          <w:rFonts w:ascii="Arial" w:hAnsi="Arial" w:eastAsia="Times New Roman" w:cs="Arial"/>
          <w:sz w:val="20"/>
          <w:szCs w:val="20"/>
          <w:lang w:eastAsia="en-GB"/>
        </w:rPr>
      </w:pPr>
    </w:p>
    <w:p w:rsidR="00164C21" w:rsidP="00C027B6" w:rsidRDefault="00164C21" w14:paraId="6A81D62D" w14:textId="77777777">
      <w:pPr>
        <w:spacing w:after="0" w:line="240" w:lineRule="auto"/>
        <w:rPr>
          <w:rFonts w:ascii="Arial" w:hAnsi="Arial" w:eastAsia="Times New Roman" w:cs="Arial"/>
          <w:sz w:val="20"/>
          <w:szCs w:val="20"/>
          <w:lang w:eastAsia="en-GB"/>
        </w:rPr>
      </w:pPr>
    </w:p>
    <w:p w:rsidRPr="009B4EE7" w:rsidR="006843E6" w:rsidP="00C027B6" w:rsidRDefault="007902E2" w14:paraId="70FF4546" w14:textId="2AB58173">
      <w:pPr>
        <w:spacing w:after="0" w:line="240" w:lineRule="auto"/>
        <w:rPr>
          <w:rFonts w:ascii="Arial" w:hAnsi="Arial" w:eastAsia="Times New Roman" w:cs="Arial"/>
          <w:lang w:eastAsia="en-GB"/>
        </w:rPr>
      </w:pPr>
      <w:r w:rsidRPr="009B4EE7">
        <w:rPr>
          <w:rFonts w:ascii="Arial" w:hAnsi="Arial" w:eastAsia="Times New Roman" w:cs="Arial"/>
          <w:lang w:eastAsia="en-GB"/>
        </w:rPr>
        <w:t>Total re</w:t>
      </w:r>
      <w:r w:rsidRPr="009B4EE7" w:rsidR="00690723">
        <w:rPr>
          <w:rFonts w:ascii="Arial" w:hAnsi="Arial" w:eastAsia="Times New Roman" w:cs="Arial"/>
          <w:lang w:eastAsia="en-GB"/>
        </w:rPr>
        <w:t>ceipts received b</w:t>
      </w:r>
      <w:r w:rsidRPr="009B4EE7">
        <w:rPr>
          <w:rFonts w:ascii="Arial" w:hAnsi="Arial" w:eastAsia="Times New Roman" w:cs="Arial"/>
          <w:lang w:eastAsia="en-GB"/>
        </w:rPr>
        <w:t xml:space="preserve">y SNC </w:t>
      </w:r>
      <w:r w:rsidRPr="009B4EE7">
        <w:rPr>
          <w:rFonts w:ascii="Arial" w:hAnsi="Arial" w:eastAsia="Times New Roman" w:cs="Arial"/>
          <w:lang w:eastAsia="en-GB"/>
        </w:rPr>
        <w:tab/>
      </w:r>
      <w:r w:rsidRPr="009B4EE7">
        <w:rPr>
          <w:rFonts w:ascii="Arial" w:hAnsi="Arial" w:eastAsia="Times New Roman" w:cs="Arial"/>
          <w:lang w:eastAsia="en-GB"/>
        </w:rPr>
        <w:tab/>
        <w:t>£</w:t>
      </w:r>
      <w:r w:rsidRPr="009B4EE7" w:rsidR="00164C21">
        <w:rPr>
          <w:rFonts w:ascii="Arial" w:hAnsi="Arial" w:eastAsia="Times New Roman" w:cs="Arial"/>
          <w:lang w:eastAsia="en-GB"/>
        </w:rPr>
        <w:t>4,404,</w:t>
      </w:r>
      <w:r w:rsidRPr="009B4EE7" w:rsidR="009B4EE7">
        <w:rPr>
          <w:rFonts w:ascii="Arial" w:hAnsi="Arial" w:eastAsia="Times New Roman" w:cs="Arial"/>
          <w:lang w:eastAsia="en-GB"/>
        </w:rPr>
        <w:t>0</w:t>
      </w:r>
      <w:r w:rsidRPr="009B4EE7" w:rsidR="00164C21">
        <w:rPr>
          <w:rFonts w:ascii="Arial" w:hAnsi="Arial" w:eastAsia="Times New Roman" w:cs="Arial"/>
          <w:lang w:eastAsia="en-GB"/>
        </w:rPr>
        <w:t>42.35</w:t>
      </w:r>
    </w:p>
    <w:p w:rsidRPr="009B4EE7" w:rsidR="007902E2" w:rsidP="00C027B6" w:rsidRDefault="007902E2" w14:paraId="0C11826C" w14:textId="4B6FA2CC">
      <w:pPr>
        <w:spacing w:after="0" w:line="240" w:lineRule="auto"/>
        <w:rPr>
          <w:rFonts w:ascii="Arial" w:hAnsi="Arial" w:eastAsia="Times New Roman" w:cs="Arial"/>
          <w:lang w:eastAsia="en-GB"/>
        </w:rPr>
      </w:pPr>
      <w:r w:rsidRPr="009B4EE7">
        <w:rPr>
          <w:rFonts w:ascii="Arial" w:hAnsi="Arial" w:eastAsia="Times New Roman" w:cs="Arial"/>
          <w:lang w:eastAsia="en-GB"/>
        </w:rPr>
        <w:t>Total amount to parish/town Councils</w:t>
      </w:r>
      <w:r w:rsidRPr="009B4EE7">
        <w:rPr>
          <w:rFonts w:ascii="Arial" w:hAnsi="Arial" w:eastAsia="Times New Roman" w:cs="Arial"/>
          <w:lang w:eastAsia="en-GB"/>
        </w:rPr>
        <w:tab/>
        <w:t>£</w:t>
      </w:r>
      <w:r w:rsidR="009B4EE7">
        <w:rPr>
          <w:rFonts w:ascii="Arial" w:hAnsi="Arial" w:eastAsia="Times New Roman" w:cs="Arial"/>
          <w:lang w:eastAsia="en-GB"/>
        </w:rPr>
        <w:t>807,523.64</w:t>
      </w:r>
    </w:p>
    <w:p w:rsidRPr="009B4EE7" w:rsidR="00665BA2" w:rsidP="00C027B6" w:rsidRDefault="007902E2" w14:paraId="16C5239B" w14:textId="24F73C16">
      <w:pPr>
        <w:spacing w:after="0" w:line="240" w:lineRule="auto"/>
        <w:rPr>
          <w:rFonts w:ascii="Arial" w:hAnsi="Arial" w:eastAsia="Times New Roman" w:cs="Arial"/>
          <w:lang w:eastAsia="en-GB"/>
        </w:rPr>
      </w:pPr>
      <w:r w:rsidRPr="009B4EE7">
        <w:rPr>
          <w:rFonts w:ascii="Arial" w:hAnsi="Arial" w:eastAsia="Times New Roman" w:cs="Arial"/>
          <w:lang w:eastAsia="en-GB"/>
        </w:rPr>
        <w:t xml:space="preserve">Total for administration </w:t>
      </w:r>
      <w:r w:rsidRPr="009B4EE7">
        <w:rPr>
          <w:rFonts w:ascii="Arial" w:hAnsi="Arial" w:eastAsia="Times New Roman" w:cs="Arial"/>
          <w:lang w:eastAsia="en-GB"/>
        </w:rPr>
        <w:tab/>
      </w:r>
      <w:r w:rsidRPr="009B4EE7">
        <w:rPr>
          <w:rFonts w:ascii="Arial" w:hAnsi="Arial" w:eastAsia="Times New Roman" w:cs="Arial"/>
          <w:lang w:eastAsia="en-GB"/>
        </w:rPr>
        <w:tab/>
      </w:r>
      <w:r w:rsidRPr="009B4EE7">
        <w:rPr>
          <w:rFonts w:ascii="Arial" w:hAnsi="Arial" w:eastAsia="Times New Roman" w:cs="Arial"/>
          <w:lang w:eastAsia="en-GB"/>
        </w:rPr>
        <w:tab/>
        <w:t>£</w:t>
      </w:r>
      <w:r w:rsidR="009B4EE7">
        <w:rPr>
          <w:rFonts w:ascii="Arial" w:hAnsi="Arial" w:eastAsia="Times New Roman" w:cs="Arial"/>
          <w:lang w:eastAsia="en-GB"/>
        </w:rPr>
        <w:t>220,202.18</w:t>
      </w:r>
    </w:p>
    <w:p w:rsidRPr="009B4EE7" w:rsidR="005206F8" w:rsidP="00C027B6" w:rsidRDefault="007902E2" w14:paraId="23F3B7E5" w14:textId="45363B2A">
      <w:pPr>
        <w:spacing w:after="0" w:line="240" w:lineRule="auto"/>
        <w:rPr>
          <w:rFonts w:ascii="Arial" w:hAnsi="Arial" w:eastAsia="Times New Roman" w:cs="Arial"/>
          <w:lang w:eastAsia="en-GB"/>
        </w:rPr>
      </w:pPr>
      <w:r w:rsidRPr="009B4EE7">
        <w:rPr>
          <w:rFonts w:ascii="Arial" w:hAnsi="Arial" w:eastAsia="Times New Roman" w:cs="Arial"/>
          <w:lang w:eastAsia="en-GB"/>
        </w:rPr>
        <w:t>Total passed to GN</w:t>
      </w:r>
      <w:r w:rsidRPr="009B4EE7" w:rsidR="009B4EE7">
        <w:rPr>
          <w:rFonts w:ascii="Arial" w:hAnsi="Arial" w:eastAsia="Times New Roman" w:cs="Arial"/>
          <w:lang w:eastAsia="en-GB"/>
        </w:rPr>
        <w:t xml:space="preserve">GB </w:t>
      </w:r>
      <w:r w:rsidRPr="009B4EE7">
        <w:rPr>
          <w:rFonts w:ascii="Arial" w:hAnsi="Arial" w:eastAsia="Times New Roman" w:cs="Arial"/>
          <w:lang w:eastAsia="en-GB"/>
        </w:rPr>
        <w:tab/>
      </w:r>
      <w:r w:rsidRPr="009B4EE7">
        <w:rPr>
          <w:rFonts w:ascii="Arial" w:hAnsi="Arial" w:eastAsia="Times New Roman" w:cs="Arial"/>
          <w:lang w:eastAsia="en-GB"/>
        </w:rPr>
        <w:tab/>
      </w:r>
      <w:r w:rsidRPr="009B4EE7">
        <w:rPr>
          <w:rFonts w:ascii="Arial" w:hAnsi="Arial" w:eastAsia="Times New Roman" w:cs="Arial"/>
          <w:lang w:eastAsia="en-GB"/>
        </w:rPr>
        <w:tab/>
        <w:t>£</w:t>
      </w:r>
      <w:r w:rsidR="009B4EE7">
        <w:rPr>
          <w:rFonts w:ascii="Arial" w:hAnsi="Arial" w:eastAsia="Times New Roman" w:cs="Arial"/>
          <w:lang w:eastAsia="en-GB"/>
        </w:rPr>
        <w:t>3,375,948.55</w:t>
      </w:r>
    </w:p>
    <w:p w:rsidRPr="009B4EE7" w:rsidR="007902E2" w:rsidP="00C027B6" w:rsidRDefault="00AF7E39" w14:paraId="57E283B6" w14:textId="0177BED0">
      <w:pPr>
        <w:spacing w:after="0" w:line="240" w:lineRule="auto"/>
        <w:rPr>
          <w:rFonts w:ascii="Arial" w:hAnsi="Arial" w:eastAsia="Times New Roman" w:cs="Arial"/>
          <w:lang w:eastAsia="en-GB"/>
        </w:rPr>
      </w:pPr>
      <w:r w:rsidRPr="009B4EE7">
        <w:rPr>
          <w:rFonts w:ascii="Arial" w:hAnsi="Arial" w:eastAsia="Times New Roman" w:cs="Arial"/>
          <w:lang w:eastAsia="en-GB"/>
        </w:rPr>
        <w:t xml:space="preserve">Total </w:t>
      </w:r>
      <w:r w:rsidRPr="009B4EE7" w:rsidR="00690723">
        <w:rPr>
          <w:rFonts w:ascii="Arial" w:hAnsi="Arial" w:eastAsia="Times New Roman" w:cs="Arial"/>
          <w:lang w:eastAsia="en-GB"/>
        </w:rPr>
        <w:t>retained by SNC</w:t>
      </w:r>
      <w:r w:rsidRPr="009B4EE7">
        <w:rPr>
          <w:rFonts w:ascii="Arial" w:hAnsi="Arial" w:eastAsia="Times New Roman" w:cs="Arial"/>
          <w:lang w:eastAsia="en-GB"/>
        </w:rPr>
        <w:tab/>
      </w:r>
      <w:r w:rsidRPr="009B4EE7">
        <w:rPr>
          <w:rFonts w:ascii="Arial" w:hAnsi="Arial" w:eastAsia="Times New Roman" w:cs="Arial"/>
          <w:lang w:eastAsia="en-GB"/>
        </w:rPr>
        <w:tab/>
      </w:r>
      <w:r w:rsidRPr="009B4EE7">
        <w:rPr>
          <w:rFonts w:ascii="Arial" w:hAnsi="Arial" w:eastAsia="Times New Roman" w:cs="Arial"/>
          <w:lang w:eastAsia="en-GB"/>
        </w:rPr>
        <w:tab/>
        <w:t>£</w:t>
      </w:r>
      <w:r w:rsidRPr="009B4EE7" w:rsidR="009B4EE7">
        <w:rPr>
          <w:rFonts w:ascii="Arial" w:hAnsi="Arial" w:eastAsia="Times New Roman" w:cs="Arial"/>
          <w:lang w:eastAsia="en-GB"/>
        </w:rPr>
        <w:t>36</w:t>
      </w:r>
      <w:r w:rsidR="009B4EE7">
        <w:rPr>
          <w:rFonts w:ascii="Arial" w:hAnsi="Arial" w:eastAsia="Times New Roman" w:cs="Arial"/>
          <w:lang w:eastAsia="en-GB"/>
        </w:rPr>
        <w:t>7.97</w:t>
      </w:r>
    </w:p>
    <w:p w:rsidR="007902E2" w:rsidRDefault="007902E2" w14:paraId="54354F79" w14:textId="661461F6"/>
    <w:p w:rsidR="000243CE" w:rsidRDefault="000243CE" w14:paraId="36FF00CC" w14:textId="77777777"/>
    <w:p w:rsidRPr="000243CE" w:rsidR="009B4EE7" w:rsidRDefault="009B4EE7" w14:paraId="3427B609" w14:textId="085186DC">
      <w:pPr>
        <w:rPr>
          <w:rFonts w:ascii="Arial" w:hAnsi="Arial" w:cs="Arial"/>
        </w:rPr>
      </w:pPr>
      <w:r w:rsidRPr="000243CE">
        <w:rPr>
          <w:rFonts w:ascii="Arial" w:hAnsi="Arial" w:cs="Arial"/>
        </w:rPr>
        <w:t xml:space="preserve">Items of infrastructure to which the CIL receipts to which regulation 59F applied have been spent  </w:t>
      </w:r>
    </w:p>
    <w:tbl>
      <w:tblPr>
        <w:tblStyle w:val="TableGrid"/>
        <w:tblW w:w="0" w:type="auto"/>
        <w:tblLook w:val="04A0" w:firstRow="1" w:lastRow="0" w:firstColumn="1" w:lastColumn="0" w:noHBand="0" w:noVBand="1"/>
      </w:tblPr>
      <w:tblGrid>
        <w:gridCol w:w="2122"/>
        <w:gridCol w:w="7176"/>
        <w:gridCol w:w="2463"/>
      </w:tblGrid>
      <w:tr w:rsidR="000243CE" w:rsidTr="000243CE" w14:paraId="4D11F915" w14:textId="77777777">
        <w:tc>
          <w:tcPr>
            <w:tcW w:w="2122" w:type="dxa"/>
          </w:tcPr>
          <w:p w:rsidR="000243CE" w:rsidRDefault="000243CE" w14:paraId="2DC44874" w14:textId="6F2C5A01">
            <w:pPr>
              <w:rPr>
                <w:rFonts w:ascii="Arial" w:hAnsi="Arial" w:cs="Arial"/>
              </w:rPr>
            </w:pPr>
            <w:r>
              <w:rPr>
                <w:rFonts w:ascii="Arial" w:hAnsi="Arial" w:cs="Arial"/>
              </w:rPr>
              <w:t xml:space="preserve">Parish </w:t>
            </w:r>
          </w:p>
        </w:tc>
        <w:tc>
          <w:tcPr>
            <w:tcW w:w="7176" w:type="dxa"/>
          </w:tcPr>
          <w:p w:rsidR="000243CE" w:rsidRDefault="000243CE" w14:paraId="5E1C56DE" w14:textId="60980E72">
            <w:pPr>
              <w:rPr>
                <w:rFonts w:ascii="Arial" w:hAnsi="Arial" w:cs="Arial"/>
              </w:rPr>
            </w:pPr>
            <w:r>
              <w:rPr>
                <w:rFonts w:ascii="Arial" w:hAnsi="Arial" w:cs="Arial"/>
              </w:rPr>
              <w:t xml:space="preserve">Project </w:t>
            </w:r>
          </w:p>
        </w:tc>
        <w:tc>
          <w:tcPr>
            <w:tcW w:w="2463" w:type="dxa"/>
          </w:tcPr>
          <w:p w:rsidR="000243CE" w:rsidRDefault="000243CE" w14:paraId="003D5C7E" w14:textId="1888A973">
            <w:pPr>
              <w:rPr>
                <w:rFonts w:ascii="Arial" w:hAnsi="Arial" w:cs="Arial"/>
              </w:rPr>
            </w:pPr>
            <w:r>
              <w:rPr>
                <w:rFonts w:ascii="Arial" w:hAnsi="Arial" w:cs="Arial"/>
              </w:rPr>
              <w:t xml:space="preserve">Expenditure </w:t>
            </w:r>
          </w:p>
        </w:tc>
      </w:tr>
      <w:tr w:rsidR="000243CE" w:rsidTr="000243CE" w14:paraId="74DBCBBB" w14:textId="77777777">
        <w:tc>
          <w:tcPr>
            <w:tcW w:w="2122" w:type="dxa"/>
          </w:tcPr>
          <w:p w:rsidR="000243CE" w:rsidRDefault="000243CE" w14:paraId="458D7405" w14:textId="3067285D">
            <w:pPr>
              <w:rPr>
                <w:rFonts w:ascii="Arial" w:hAnsi="Arial" w:cs="Arial"/>
              </w:rPr>
            </w:pPr>
            <w:r>
              <w:rPr>
                <w:rFonts w:ascii="Arial" w:hAnsi="Arial" w:cs="Arial"/>
              </w:rPr>
              <w:t xml:space="preserve">Framingham </w:t>
            </w:r>
            <w:proofErr w:type="spellStart"/>
            <w:r>
              <w:rPr>
                <w:rFonts w:ascii="Arial" w:hAnsi="Arial" w:cs="Arial"/>
              </w:rPr>
              <w:t>Pigot</w:t>
            </w:r>
            <w:proofErr w:type="spellEnd"/>
            <w:r>
              <w:rPr>
                <w:rFonts w:ascii="Arial" w:hAnsi="Arial" w:cs="Arial"/>
              </w:rPr>
              <w:t xml:space="preserve"> </w:t>
            </w:r>
          </w:p>
        </w:tc>
        <w:tc>
          <w:tcPr>
            <w:tcW w:w="7176" w:type="dxa"/>
          </w:tcPr>
          <w:p w:rsidRPr="000243CE" w:rsidR="000243CE" w:rsidP="000243CE" w:rsidRDefault="000243CE" w14:paraId="4251527E" w14:textId="6AA0E334">
            <w:pPr>
              <w:rPr>
                <w:rFonts w:ascii="Arial" w:hAnsi="Arial" w:cs="Arial"/>
                <w:color w:val="000000"/>
              </w:rPr>
            </w:pPr>
            <w:r w:rsidRPr="000243CE">
              <w:rPr>
                <w:rFonts w:ascii="Arial" w:hAnsi="Arial" w:cs="Arial"/>
                <w:color w:val="000000"/>
              </w:rPr>
              <w:t>Defibril</w:t>
            </w:r>
            <w:r>
              <w:rPr>
                <w:rFonts w:ascii="Arial" w:hAnsi="Arial" w:cs="Arial"/>
                <w:color w:val="000000"/>
              </w:rPr>
              <w:t>l</w:t>
            </w:r>
            <w:r w:rsidRPr="000243CE">
              <w:rPr>
                <w:rFonts w:ascii="Arial" w:hAnsi="Arial" w:cs="Arial"/>
                <w:color w:val="000000"/>
              </w:rPr>
              <w:t xml:space="preserve">ator and associated electrics </w:t>
            </w:r>
          </w:p>
          <w:p w:rsidR="000243CE" w:rsidRDefault="000243CE" w14:paraId="5EA8C06D" w14:textId="77777777">
            <w:pPr>
              <w:rPr>
                <w:rFonts w:ascii="Arial" w:hAnsi="Arial" w:cs="Arial"/>
              </w:rPr>
            </w:pPr>
          </w:p>
        </w:tc>
        <w:tc>
          <w:tcPr>
            <w:tcW w:w="2463" w:type="dxa"/>
          </w:tcPr>
          <w:p w:rsidR="000243CE" w:rsidRDefault="000243CE" w14:paraId="0AEB02EC" w14:textId="0F35ADE3">
            <w:pPr>
              <w:rPr>
                <w:rFonts w:ascii="Arial" w:hAnsi="Arial" w:cs="Arial"/>
              </w:rPr>
            </w:pPr>
            <w:r>
              <w:rPr>
                <w:rFonts w:ascii="Arial" w:hAnsi="Arial" w:cs="Arial"/>
              </w:rPr>
              <w:t>£790.80</w:t>
            </w:r>
          </w:p>
        </w:tc>
      </w:tr>
      <w:tr w:rsidR="000243CE" w:rsidTr="000243CE" w14:paraId="24F43D42" w14:textId="77777777">
        <w:tc>
          <w:tcPr>
            <w:tcW w:w="2122" w:type="dxa"/>
          </w:tcPr>
          <w:p w:rsidR="000243CE" w:rsidRDefault="000243CE" w14:paraId="2F23C763" w14:textId="44499717">
            <w:pPr>
              <w:rPr>
                <w:rFonts w:ascii="Arial" w:hAnsi="Arial" w:cs="Arial"/>
              </w:rPr>
            </w:pPr>
            <w:r>
              <w:rPr>
                <w:rFonts w:ascii="Arial" w:hAnsi="Arial" w:cs="Arial"/>
              </w:rPr>
              <w:t>Stockton</w:t>
            </w:r>
          </w:p>
        </w:tc>
        <w:tc>
          <w:tcPr>
            <w:tcW w:w="7176" w:type="dxa"/>
          </w:tcPr>
          <w:p w:rsidRPr="000243CE" w:rsidR="000243CE" w:rsidP="000243CE" w:rsidRDefault="000243CE" w14:paraId="0C7A36A6" w14:textId="77777777">
            <w:pPr>
              <w:rPr>
                <w:rFonts w:ascii="Arial" w:hAnsi="Arial" w:cs="Arial"/>
                <w:color w:val="000000"/>
              </w:rPr>
            </w:pPr>
            <w:r w:rsidRPr="000243CE">
              <w:rPr>
                <w:rFonts w:ascii="Arial" w:hAnsi="Arial" w:cs="Arial"/>
                <w:color w:val="000000"/>
              </w:rPr>
              <w:t>Payment towards safety signs on A146</w:t>
            </w:r>
          </w:p>
          <w:p w:rsidR="000243CE" w:rsidRDefault="000243CE" w14:paraId="0AA4DD96" w14:textId="77777777">
            <w:pPr>
              <w:rPr>
                <w:rFonts w:ascii="Arial" w:hAnsi="Arial" w:cs="Arial"/>
              </w:rPr>
            </w:pPr>
          </w:p>
        </w:tc>
        <w:tc>
          <w:tcPr>
            <w:tcW w:w="2463" w:type="dxa"/>
          </w:tcPr>
          <w:p w:rsidR="000243CE" w:rsidRDefault="000243CE" w14:paraId="71D574F1" w14:textId="30224E17">
            <w:pPr>
              <w:rPr>
                <w:rFonts w:ascii="Arial" w:hAnsi="Arial" w:cs="Arial"/>
              </w:rPr>
            </w:pPr>
            <w:r>
              <w:rPr>
                <w:rFonts w:ascii="Arial" w:hAnsi="Arial" w:cs="Arial"/>
              </w:rPr>
              <w:t>£152.54</w:t>
            </w:r>
          </w:p>
        </w:tc>
      </w:tr>
    </w:tbl>
    <w:p w:rsidRPr="009B4EE7" w:rsidR="000243CE" w:rsidRDefault="000243CE" w14:paraId="3AAF5487" w14:textId="77777777">
      <w:pPr>
        <w:rPr>
          <w:rFonts w:ascii="Arial" w:hAnsi="Arial" w:cs="Arial"/>
        </w:rPr>
      </w:pPr>
    </w:p>
    <w:sectPr w:rsidRPr="009B4EE7" w:rsidR="000243CE" w:rsidSect="00063A1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E6430D"/>
    <w:multiLevelType w:val="hybridMultilevel"/>
    <w:tmpl w:val="77CEADE4"/>
    <w:lvl w:ilvl="0" w:tplc="158C0E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DB6A49"/>
    <w:multiLevelType w:val="hybridMultilevel"/>
    <w:tmpl w:val="D1EE5862"/>
    <w:lvl w:ilvl="0" w:tplc="53BE21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6946A6"/>
    <w:multiLevelType w:val="hybridMultilevel"/>
    <w:tmpl w:val="50961B2C"/>
    <w:lvl w:ilvl="0" w:tplc="042AFA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BD691B"/>
    <w:multiLevelType w:val="hybridMultilevel"/>
    <w:tmpl w:val="8BDE2DCA"/>
    <w:lvl w:ilvl="0" w:tplc="B4D625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070D05"/>
    <w:multiLevelType w:val="hybridMultilevel"/>
    <w:tmpl w:val="E662FDE8"/>
    <w:lvl w:ilvl="0" w:tplc="DE9E03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7B6"/>
    <w:rsid w:val="000243CE"/>
    <w:rsid w:val="00063A1E"/>
    <w:rsid w:val="00067FB3"/>
    <w:rsid w:val="000939B2"/>
    <w:rsid w:val="000A254B"/>
    <w:rsid w:val="000C41F6"/>
    <w:rsid w:val="000C7E53"/>
    <w:rsid w:val="000F33CC"/>
    <w:rsid w:val="0011739E"/>
    <w:rsid w:val="001231EA"/>
    <w:rsid w:val="00164C21"/>
    <w:rsid w:val="001B0119"/>
    <w:rsid w:val="001B3BA4"/>
    <w:rsid w:val="001B5764"/>
    <w:rsid w:val="001B5F7C"/>
    <w:rsid w:val="001E098C"/>
    <w:rsid w:val="001E64CF"/>
    <w:rsid w:val="00225824"/>
    <w:rsid w:val="00240BA7"/>
    <w:rsid w:val="002426DF"/>
    <w:rsid w:val="00245AB6"/>
    <w:rsid w:val="00272557"/>
    <w:rsid w:val="0027526C"/>
    <w:rsid w:val="00297635"/>
    <w:rsid w:val="002A7DF4"/>
    <w:rsid w:val="002D2A10"/>
    <w:rsid w:val="00342047"/>
    <w:rsid w:val="00354AD0"/>
    <w:rsid w:val="00357AD4"/>
    <w:rsid w:val="003C4370"/>
    <w:rsid w:val="003D63CE"/>
    <w:rsid w:val="003E1F38"/>
    <w:rsid w:val="003F3B27"/>
    <w:rsid w:val="00422902"/>
    <w:rsid w:val="004916A9"/>
    <w:rsid w:val="00514A6A"/>
    <w:rsid w:val="005206F8"/>
    <w:rsid w:val="005524BE"/>
    <w:rsid w:val="005A6198"/>
    <w:rsid w:val="005C1DF5"/>
    <w:rsid w:val="005E7870"/>
    <w:rsid w:val="00636CE4"/>
    <w:rsid w:val="00651401"/>
    <w:rsid w:val="0065418B"/>
    <w:rsid w:val="00665BA2"/>
    <w:rsid w:val="006843E6"/>
    <w:rsid w:val="00690723"/>
    <w:rsid w:val="006C0302"/>
    <w:rsid w:val="006C49B3"/>
    <w:rsid w:val="006D5D9E"/>
    <w:rsid w:val="006E5CC3"/>
    <w:rsid w:val="006E628B"/>
    <w:rsid w:val="006F6F61"/>
    <w:rsid w:val="00763466"/>
    <w:rsid w:val="00766E68"/>
    <w:rsid w:val="007902E2"/>
    <w:rsid w:val="007C46C1"/>
    <w:rsid w:val="00860882"/>
    <w:rsid w:val="008A1DE8"/>
    <w:rsid w:val="008B6B9D"/>
    <w:rsid w:val="008C0F44"/>
    <w:rsid w:val="008D6FEE"/>
    <w:rsid w:val="0092663E"/>
    <w:rsid w:val="009B4EE7"/>
    <w:rsid w:val="00A23A65"/>
    <w:rsid w:val="00AC63A8"/>
    <w:rsid w:val="00AE36F4"/>
    <w:rsid w:val="00AF7E39"/>
    <w:rsid w:val="00B03F3A"/>
    <w:rsid w:val="00B13CE9"/>
    <w:rsid w:val="00B43D3E"/>
    <w:rsid w:val="00B7470B"/>
    <w:rsid w:val="00BC0764"/>
    <w:rsid w:val="00BD0426"/>
    <w:rsid w:val="00BF40FD"/>
    <w:rsid w:val="00C027B6"/>
    <w:rsid w:val="00C36A42"/>
    <w:rsid w:val="00C74603"/>
    <w:rsid w:val="00C9308E"/>
    <w:rsid w:val="00CA6F8B"/>
    <w:rsid w:val="00CC2F8D"/>
    <w:rsid w:val="00CF5971"/>
    <w:rsid w:val="00D3116C"/>
    <w:rsid w:val="00D46DBE"/>
    <w:rsid w:val="00D96446"/>
    <w:rsid w:val="00DB5C7C"/>
    <w:rsid w:val="00E04D1D"/>
    <w:rsid w:val="00E06159"/>
    <w:rsid w:val="00E5799F"/>
    <w:rsid w:val="00E84D1C"/>
    <w:rsid w:val="00E9644A"/>
    <w:rsid w:val="00EF1421"/>
    <w:rsid w:val="00F13D42"/>
    <w:rsid w:val="00F8423E"/>
    <w:rsid w:val="00FB3BF4"/>
    <w:rsid w:val="00FC1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F96E8"/>
  <w15:docId w15:val="{6936DE96-1FC0-4029-86C6-B689BD34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uiPriority w:val="59"/>
    <w:rsid w:val="00C027B6"/>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C027B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2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7B6"/>
    <w:rPr>
      <w:rFonts w:ascii="Tahoma" w:hAnsi="Tahoma" w:cs="Tahoma"/>
      <w:sz w:val="16"/>
      <w:szCs w:val="16"/>
    </w:rPr>
  </w:style>
  <w:style w:type="table" w:styleId="TableGrid">
    <w:name w:val="Table Grid"/>
    <w:basedOn w:val="TableNormal"/>
    <w:uiPriority w:val="59"/>
    <w:unhideWhenUsed/>
    <w:rsid w:val="00B13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2557"/>
    <w:pPr>
      <w:ind w:left="720"/>
      <w:contextualSpacing/>
    </w:pPr>
  </w:style>
  <w:style w:type="paragraph" w:customStyle="1" w:styleId="Default">
    <w:name w:val="Default"/>
    <w:rsid w:val="00C36A4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36A42"/>
    <w:rPr>
      <w:color w:val="0000FF" w:themeColor="hyperlink"/>
      <w:u w:val="single"/>
    </w:rPr>
  </w:style>
  <w:style w:type="character" w:styleId="UnresolvedMention">
    <w:name w:val="Unresolved Mention"/>
    <w:basedOn w:val="DefaultParagraphFont"/>
    <w:uiPriority w:val="99"/>
    <w:semiHidden/>
    <w:unhideWhenUsed/>
    <w:rsid w:val="00C36A42"/>
    <w:rPr>
      <w:color w:val="605E5C"/>
      <w:shd w:val="clear" w:color="auto" w:fill="E1DFDD"/>
    </w:rPr>
  </w:style>
  <w:style w:type="character" w:styleId="FollowedHyperlink">
    <w:name w:val="FollowedHyperlink"/>
    <w:basedOn w:val="DefaultParagraphFont"/>
    <w:uiPriority w:val="99"/>
    <w:semiHidden/>
    <w:unhideWhenUsed/>
    <w:rsid w:val="00C36A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308081">
      <w:bodyDiv w:val="1"/>
      <w:marLeft w:val="0"/>
      <w:marRight w:val="0"/>
      <w:marTop w:val="0"/>
      <w:marBottom w:val="0"/>
      <w:divBdr>
        <w:top w:val="none" w:sz="0" w:space="0" w:color="auto"/>
        <w:left w:val="none" w:sz="0" w:space="0" w:color="auto"/>
        <w:bottom w:val="none" w:sz="0" w:space="0" w:color="auto"/>
        <w:right w:val="none" w:sz="0" w:space="0" w:color="auto"/>
      </w:divBdr>
    </w:div>
    <w:div w:id="734474014">
      <w:bodyDiv w:val="1"/>
      <w:marLeft w:val="0"/>
      <w:marRight w:val="0"/>
      <w:marTop w:val="0"/>
      <w:marBottom w:val="0"/>
      <w:divBdr>
        <w:top w:val="none" w:sz="0" w:space="0" w:color="auto"/>
        <w:left w:val="none" w:sz="0" w:space="0" w:color="auto"/>
        <w:bottom w:val="none" w:sz="0" w:space="0" w:color="auto"/>
        <w:right w:val="none" w:sz="0" w:space="0" w:color="auto"/>
      </w:divBdr>
    </w:div>
    <w:div w:id="745303527">
      <w:bodyDiv w:val="1"/>
      <w:marLeft w:val="0"/>
      <w:marRight w:val="0"/>
      <w:marTop w:val="0"/>
      <w:marBottom w:val="0"/>
      <w:divBdr>
        <w:top w:val="none" w:sz="0" w:space="0" w:color="auto"/>
        <w:left w:val="none" w:sz="0" w:space="0" w:color="auto"/>
        <w:bottom w:val="none" w:sz="0" w:space="0" w:color="auto"/>
        <w:right w:val="none" w:sz="0" w:space="0" w:color="auto"/>
      </w:divBdr>
    </w:div>
    <w:div w:id="843859922">
      <w:bodyDiv w:val="1"/>
      <w:marLeft w:val="0"/>
      <w:marRight w:val="0"/>
      <w:marTop w:val="0"/>
      <w:marBottom w:val="0"/>
      <w:divBdr>
        <w:top w:val="none" w:sz="0" w:space="0" w:color="auto"/>
        <w:left w:val="none" w:sz="0" w:space="0" w:color="auto"/>
        <w:bottom w:val="none" w:sz="0" w:space="0" w:color="auto"/>
        <w:right w:val="none" w:sz="0" w:space="0" w:color="auto"/>
      </w:divBdr>
    </w:div>
    <w:div w:id="896815074">
      <w:bodyDiv w:val="1"/>
      <w:marLeft w:val="0"/>
      <w:marRight w:val="0"/>
      <w:marTop w:val="0"/>
      <w:marBottom w:val="0"/>
      <w:divBdr>
        <w:top w:val="none" w:sz="0" w:space="0" w:color="auto"/>
        <w:left w:val="none" w:sz="0" w:space="0" w:color="auto"/>
        <w:bottom w:val="none" w:sz="0" w:space="0" w:color="auto"/>
        <w:right w:val="none" w:sz="0" w:space="0" w:color="auto"/>
      </w:divBdr>
    </w:div>
    <w:div w:id="1200975541">
      <w:bodyDiv w:val="1"/>
      <w:marLeft w:val="0"/>
      <w:marRight w:val="0"/>
      <w:marTop w:val="0"/>
      <w:marBottom w:val="0"/>
      <w:divBdr>
        <w:top w:val="none" w:sz="0" w:space="0" w:color="auto"/>
        <w:left w:val="none" w:sz="0" w:space="0" w:color="auto"/>
        <w:bottom w:val="none" w:sz="0" w:space="0" w:color="auto"/>
        <w:right w:val="none" w:sz="0" w:space="0" w:color="auto"/>
      </w:divBdr>
    </w:div>
    <w:div w:id="1537960988">
      <w:bodyDiv w:val="1"/>
      <w:marLeft w:val="0"/>
      <w:marRight w:val="0"/>
      <w:marTop w:val="0"/>
      <w:marBottom w:val="0"/>
      <w:divBdr>
        <w:top w:val="none" w:sz="0" w:space="0" w:color="auto"/>
        <w:left w:val="none" w:sz="0" w:space="0" w:color="auto"/>
        <w:bottom w:val="none" w:sz="0" w:space="0" w:color="auto"/>
        <w:right w:val="none" w:sz="0" w:space="0" w:color="auto"/>
      </w:divBdr>
    </w:div>
    <w:div w:id="1588004177">
      <w:bodyDiv w:val="1"/>
      <w:marLeft w:val="0"/>
      <w:marRight w:val="0"/>
      <w:marTop w:val="0"/>
      <w:marBottom w:val="0"/>
      <w:divBdr>
        <w:top w:val="none" w:sz="0" w:space="0" w:color="auto"/>
        <w:left w:val="none" w:sz="0" w:space="0" w:color="auto"/>
        <w:bottom w:val="none" w:sz="0" w:space="0" w:color="auto"/>
        <w:right w:val="none" w:sz="0" w:space="0" w:color="auto"/>
      </w:divBdr>
    </w:div>
    <w:div w:id="1613854553">
      <w:bodyDiv w:val="1"/>
      <w:marLeft w:val="0"/>
      <w:marRight w:val="0"/>
      <w:marTop w:val="0"/>
      <w:marBottom w:val="0"/>
      <w:divBdr>
        <w:top w:val="none" w:sz="0" w:space="0" w:color="auto"/>
        <w:left w:val="none" w:sz="0" w:space="0" w:color="auto"/>
        <w:bottom w:val="none" w:sz="0" w:space="0" w:color="auto"/>
        <w:right w:val="none" w:sz="0" w:space="0" w:color="auto"/>
      </w:divBdr>
    </w:div>
    <w:div w:id="1702323159">
      <w:bodyDiv w:val="1"/>
      <w:marLeft w:val="0"/>
      <w:marRight w:val="0"/>
      <w:marTop w:val="0"/>
      <w:marBottom w:val="0"/>
      <w:divBdr>
        <w:top w:val="none" w:sz="0" w:space="0" w:color="auto"/>
        <w:left w:val="none" w:sz="0" w:space="0" w:color="auto"/>
        <w:bottom w:val="none" w:sz="0" w:space="0" w:color="auto"/>
        <w:right w:val="none" w:sz="0" w:space="0" w:color="auto"/>
      </w:divBdr>
    </w:div>
    <w:div w:id="1721241812">
      <w:bodyDiv w:val="1"/>
      <w:marLeft w:val="0"/>
      <w:marRight w:val="0"/>
      <w:marTop w:val="0"/>
      <w:marBottom w:val="0"/>
      <w:divBdr>
        <w:top w:val="none" w:sz="0" w:space="0" w:color="auto"/>
        <w:left w:val="none" w:sz="0" w:space="0" w:color="auto"/>
        <w:bottom w:val="none" w:sz="0" w:space="0" w:color="auto"/>
        <w:right w:val="none" w:sz="0" w:space="0" w:color="auto"/>
      </w:divBdr>
    </w:div>
    <w:div w:id="1797024885">
      <w:bodyDiv w:val="1"/>
      <w:marLeft w:val="0"/>
      <w:marRight w:val="0"/>
      <w:marTop w:val="0"/>
      <w:marBottom w:val="0"/>
      <w:divBdr>
        <w:top w:val="none" w:sz="0" w:space="0" w:color="auto"/>
        <w:left w:val="none" w:sz="0" w:space="0" w:color="auto"/>
        <w:bottom w:val="none" w:sz="0" w:space="0" w:color="auto"/>
        <w:right w:val="none" w:sz="0" w:space="0" w:color="auto"/>
      </w:divBdr>
    </w:div>
    <w:div w:id="186751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aternorwichgrowth.org.uk/planning/monitoring/" TargetMode="External"/><Relationship Id="rId13" Type="http://schemas.openxmlformats.org/officeDocument/2006/relationships/hyperlink" Target="https://www.greaternorwichgrowth.org.uk/planning/monitoring/" TargetMode="External"/><Relationship Id="rId3" Type="http://schemas.openxmlformats.org/officeDocument/2006/relationships/settings" Target="settings.xml"/><Relationship Id="rId7" Type="http://schemas.openxmlformats.org/officeDocument/2006/relationships/hyperlink" Target="https://www.greaternorwichgrowth.org.uk/delivery/growth-programme/" TargetMode="External"/><Relationship Id="rId12" Type="http://schemas.openxmlformats.org/officeDocument/2006/relationships/hyperlink" Target="https://www.greaternorwichgrowth.org.uk/planning/monito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eaternorwichgrowth.org.uk/planning/monitoring/" TargetMode="External"/><Relationship Id="rId11" Type="http://schemas.openxmlformats.org/officeDocument/2006/relationships/hyperlink" Target="https://www.greaternorwichgrowth.org.uk/planning/monitoring/"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greaternorwichgrowth.org.uk/planning/monitoring/" TargetMode="External"/><Relationship Id="rId4" Type="http://schemas.openxmlformats.org/officeDocument/2006/relationships/webSettings" Target="webSettings.xml"/><Relationship Id="rId9" Type="http://schemas.openxmlformats.org/officeDocument/2006/relationships/hyperlink" Target="https://www.greaternorwichgrowth.org.uk/planning/monitor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2303</Words>
  <Characters>13130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South Norfolk Council</Company>
  <LinksUpToDate>false</LinksUpToDate>
  <CharactersWithSpaces>15403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snc_cil_infrastructure_funding_statement_2019___2020_A</dc:title>
  <dc:creator>Carole Baker</dc:creator>
  <cp:lastModifiedBy>snab-importer</cp:lastModifiedBy>
  <cp:revision>3</cp:revision>
  <cp:lastPrinted>2019-07-18T13:09:00Z</cp:lastPrinted>
  <dcterms:created xsi:type="dcterms:W3CDTF">2020-12-09T07:40:00Z</dcterms:created>
  <dcterms:modified xsi:type="dcterms:W3CDTF">2024-08-02T10:48:43Z</dcterms:modified>
  <cp:keywords>
  </cp:keywords>
  <dc:subject>
  </dc:subject>
</cp:coreProperties>
</file>