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59EB" w:rsidP="004659EB" w:rsidRDefault="00C33A89" w14:paraId="1A23C0D2" w14:textId="77777777">
      <w:pPr>
        <w:jc w:val="center"/>
        <w:rPr>
          <w:rFonts w:ascii="Arial" w:hAnsi="Arial" w:cs="Arial"/>
          <w:b/>
          <w:sz w:val="28"/>
          <w:szCs w:val="28"/>
        </w:rPr>
      </w:pPr>
      <w:r>
        <w:rPr>
          <w:noProof/>
        </w:rPr>
        <w:drawing>
          <wp:inline distT="0" distB="0" distL="0" distR="0" wp14:anchorId="36616329" wp14:editId="5125DC2F">
            <wp:extent cx="1283148" cy="619125"/>
            <wp:effectExtent l="0" t="0" r="0" b="0"/>
            <wp:docPr id="9" name="Picture 9" descr="Broadlan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adland District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493" cy="620256"/>
                    </a:xfrm>
                    <a:prstGeom prst="rect">
                      <a:avLst/>
                    </a:prstGeom>
                  </pic:spPr>
                </pic:pic>
              </a:graphicData>
            </a:graphic>
          </wp:inline>
        </w:drawing>
      </w:r>
      <w:r w:rsidR="00E03DEF">
        <w:rPr>
          <w:noProof/>
        </w:rPr>
        <w:drawing>
          <wp:inline distT="0" distB="0" distL="0" distR="0" wp14:anchorId="347CCB12" wp14:editId="32873CC5">
            <wp:extent cx="1398270" cy="567055"/>
            <wp:effectExtent l="0" t="0" r="0" b="4445"/>
            <wp:docPr id="8" name="Picture 8" descr="South Norfolk Council logo " title="South Norfolk Council Logo"/>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270" cy="567055"/>
                    </a:xfrm>
                    <a:prstGeom prst="rect">
                      <a:avLst/>
                    </a:prstGeom>
                    <a:noFill/>
                  </pic:spPr>
                </pic:pic>
              </a:graphicData>
            </a:graphic>
          </wp:inline>
        </w:drawing>
      </w:r>
      <w:r w:rsidRPr="00CA6F5F" w:rsidR="00BA0EAB">
        <w:rPr>
          <w:noProof/>
        </w:rPr>
        <w:drawing>
          <wp:inline distT="0" distB="0" distL="0" distR="0" wp14:anchorId="09331322" wp14:editId="0771B05C">
            <wp:extent cx="1408906" cy="676275"/>
            <wp:effectExtent l="0" t="0" r="1270" b="0"/>
            <wp:docPr id="4" name="Picture 4" descr="Features shield with castle and lion and words Norwich City Council" title="Norwic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using\HHP\Homelessness\Homelessness Strategy 2020-2025\Norwich-City-Council colour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7833" cy="680560"/>
                    </a:xfrm>
                    <a:prstGeom prst="rect">
                      <a:avLst/>
                    </a:prstGeom>
                    <a:noFill/>
                    <a:ln>
                      <a:noFill/>
                    </a:ln>
                  </pic:spPr>
                </pic:pic>
              </a:graphicData>
            </a:graphic>
          </wp:inline>
        </w:drawing>
      </w:r>
    </w:p>
    <w:p w:rsidR="004659EB" w:rsidRDefault="004659EB" w14:paraId="68A90490" w14:textId="77777777">
      <w:pPr>
        <w:rPr>
          <w:rFonts w:ascii="Arial" w:hAnsi="Arial" w:cs="Arial"/>
          <w:b/>
          <w:sz w:val="28"/>
          <w:szCs w:val="28"/>
        </w:rPr>
      </w:pPr>
    </w:p>
    <w:p w:rsidR="008A1B0A" w:rsidRDefault="008A1B0A" w14:paraId="37210512" w14:textId="77777777">
      <w:pPr>
        <w:rPr>
          <w:rFonts w:ascii="Arial" w:hAnsi="Arial" w:cs="Arial"/>
          <w:b/>
          <w:sz w:val="28"/>
          <w:szCs w:val="28"/>
        </w:rPr>
      </w:pPr>
    </w:p>
    <w:p w:rsidRPr="00605263" w:rsidR="007D02FC" w:rsidP="00B549CD" w:rsidRDefault="000C04A0" w14:paraId="08CC4794" w14:textId="77777777">
      <w:pPr>
        <w:pStyle w:val="GNHS1"/>
      </w:pPr>
      <w:r w:rsidRPr="00605263">
        <w:t>Greater Norwich Homelessness S</w:t>
      </w:r>
      <w:r w:rsidRPr="00605263" w:rsidR="0036484E">
        <w:t>trategy 2020-25</w:t>
      </w:r>
      <w:r w:rsidR="00C85265">
        <w:t xml:space="preserve"> </w:t>
      </w:r>
    </w:p>
    <w:p w:rsidR="0036484E" w:rsidRDefault="0036484E" w14:paraId="1FE2A98C" w14:textId="77777777">
      <w:pPr>
        <w:rPr>
          <w:rFonts w:ascii="Arial" w:hAnsi="Arial" w:cs="Arial"/>
        </w:rPr>
      </w:pPr>
    </w:p>
    <w:tbl>
      <w:tblPr>
        <w:tblStyle w:val="TableGrid"/>
        <w:tblW w:w="0" w:type="auto"/>
        <w:tblLook w:val="04A0" w:firstRow="1" w:lastRow="0" w:firstColumn="1" w:lastColumn="0" w:noHBand="0" w:noVBand="1"/>
        <w:tblCaption w:val="Table of Contents"/>
        <w:tblDescription w:val="Table of contents and page numbers for the Greater Norwich Homelessness Strategy"/>
      </w:tblPr>
      <w:tblGrid>
        <w:gridCol w:w="1126"/>
        <w:gridCol w:w="6122"/>
        <w:gridCol w:w="1048"/>
      </w:tblGrid>
      <w:tr w:rsidR="00011A97" w:rsidTr="00700C37" w14:paraId="63D19608" w14:textId="77777777">
        <w:trPr>
          <w:cantSplit/>
          <w:tblHeader/>
        </w:trPr>
        <w:tc>
          <w:tcPr>
            <w:tcW w:w="1126" w:type="dxa"/>
          </w:tcPr>
          <w:p w:rsidRPr="00A0581D" w:rsidR="00011A97" w:rsidRDefault="00D94935" w14:paraId="558F1CDA" w14:textId="77777777">
            <w:pPr>
              <w:rPr>
                <w:rFonts w:ascii="Arial" w:hAnsi="Arial" w:cs="Arial"/>
                <w:b/>
                <w:sz w:val="22"/>
                <w:szCs w:val="22"/>
              </w:rPr>
            </w:pPr>
            <w:r w:rsidRPr="00A0581D">
              <w:rPr>
                <w:rFonts w:ascii="Arial" w:hAnsi="Arial" w:cs="Arial"/>
                <w:b/>
                <w:sz w:val="22"/>
                <w:szCs w:val="22"/>
              </w:rPr>
              <w:t>Section</w:t>
            </w:r>
          </w:p>
        </w:tc>
        <w:tc>
          <w:tcPr>
            <w:tcW w:w="6122" w:type="dxa"/>
          </w:tcPr>
          <w:p w:rsidRPr="00A0581D" w:rsidR="00011A97" w:rsidRDefault="00D94935" w14:paraId="6E52AB7D" w14:textId="77777777">
            <w:pPr>
              <w:rPr>
                <w:rFonts w:ascii="Arial" w:hAnsi="Arial" w:cs="Arial"/>
                <w:b/>
                <w:sz w:val="22"/>
                <w:szCs w:val="22"/>
              </w:rPr>
            </w:pPr>
            <w:r w:rsidRPr="00A0581D">
              <w:rPr>
                <w:rFonts w:ascii="Arial" w:hAnsi="Arial" w:cs="Arial"/>
                <w:b/>
                <w:sz w:val="22"/>
                <w:szCs w:val="22"/>
              </w:rPr>
              <w:t>Subject</w:t>
            </w:r>
          </w:p>
        </w:tc>
        <w:tc>
          <w:tcPr>
            <w:tcW w:w="1048" w:type="dxa"/>
          </w:tcPr>
          <w:p w:rsidRPr="00A0581D" w:rsidR="00011A97" w:rsidRDefault="00D94935" w14:paraId="7489C182" w14:textId="77777777">
            <w:pPr>
              <w:rPr>
                <w:rFonts w:ascii="Arial" w:hAnsi="Arial" w:cs="Arial"/>
                <w:b/>
                <w:sz w:val="22"/>
                <w:szCs w:val="22"/>
              </w:rPr>
            </w:pPr>
            <w:r w:rsidRPr="00A0581D">
              <w:rPr>
                <w:rFonts w:ascii="Arial" w:hAnsi="Arial" w:cs="Arial"/>
                <w:b/>
                <w:sz w:val="22"/>
                <w:szCs w:val="22"/>
              </w:rPr>
              <w:t>Page Number</w:t>
            </w:r>
          </w:p>
        </w:tc>
      </w:tr>
      <w:tr w:rsidR="00011A97" w:rsidTr="00700C37" w14:paraId="36BD26A4" w14:textId="77777777">
        <w:trPr>
          <w:cantSplit/>
        </w:trPr>
        <w:tc>
          <w:tcPr>
            <w:tcW w:w="1126" w:type="dxa"/>
          </w:tcPr>
          <w:p w:rsidRPr="00A0581D" w:rsidR="00011A97" w:rsidP="00EB5131" w:rsidRDefault="00011A97" w14:paraId="7A7589D8" w14:textId="77777777">
            <w:pPr>
              <w:rPr>
                <w:rFonts w:ascii="Arial" w:hAnsi="Arial" w:cs="Arial"/>
                <w:sz w:val="22"/>
                <w:szCs w:val="22"/>
              </w:rPr>
            </w:pPr>
          </w:p>
        </w:tc>
        <w:tc>
          <w:tcPr>
            <w:tcW w:w="6122" w:type="dxa"/>
          </w:tcPr>
          <w:p w:rsidRPr="00A0581D" w:rsidR="00011A97" w:rsidP="00EB5131" w:rsidRDefault="00D94935" w14:paraId="0A36149D" w14:textId="77777777">
            <w:pPr>
              <w:rPr>
                <w:rFonts w:ascii="Arial" w:hAnsi="Arial" w:cs="Arial"/>
                <w:sz w:val="22"/>
                <w:szCs w:val="22"/>
              </w:rPr>
            </w:pPr>
            <w:r w:rsidRPr="00A0581D">
              <w:rPr>
                <w:rFonts w:ascii="Arial" w:hAnsi="Arial" w:cs="Arial"/>
                <w:sz w:val="22"/>
                <w:szCs w:val="22"/>
              </w:rPr>
              <w:t>Contents</w:t>
            </w:r>
          </w:p>
        </w:tc>
        <w:tc>
          <w:tcPr>
            <w:tcW w:w="1048" w:type="dxa"/>
          </w:tcPr>
          <w:p w:rsidRPr="0038076E" w:rsidR="00011A97" w:rsidRDefault="00854F1D" w14:paraId="57C1894D" w14:textId="77777777">
            <w:pPr>
              <w:rPr>
                <w:rFonts w:ascii="Arial" w:hAnsi="Arial" w:cs="Arial"/>
                <w:sz w:val="22"/>
                <w:szCs w:val="22"/>
              </w:rPr>
            </w:pPr>
            <w:r w:rsidRPr="0038076E">
              <w:rPr>
                <w:rFonts w:ascii="Arial" w:hAnsi="Arial" w:cs="Arial"/>
                <w:sz w:val="22"/>
                <w:szCs w:val="22"/>
              </w:rPr>
              <w:t>1</w:t>
            </w:r>
          </w:p>
        </w:tc>
      </w:tr>
      <w:tr w:rsidR="00011A97" w:rsidTr="00700C37" w14:paraId="37FF0248" w14:textId="77777777">
        <w:trPr>
          <w:cantSplit/>
        </w:trPr>
        <w:tc>
          <w:tcPr>
            <w:tcW w:w="1126" w:type="dxa"/>
          </w:tcPr>
          <w:p w:rsidR="00011A97" w:rsidP="00EB5131" w:rsidRDefault="00011A97" w14:paraId="118028FD" w14:textId="77777777">
            <w:pPr>
              <w:rPr>
                <w:rFonts w:ascii="Arial" w:hAnsi="Arial" w:cs="Arial"/>
                <w:sz w:val="22"/>
                <w:szCs w:val="22"/>
              </w:rPr>
            </w:pPr>
          </w:p>
          <w:p w:rsidR="000D3EEA" w:rsidP="00EB5131" w:rsidRDefault="000D3EEA" w14:paraId="7CB1295B" w14:textId="77777777">
            <w:pPr>
              <w:rPr>
                <w:rFonts w:ascii="Arial" w:hAnsi="Arial" w:cs="Arial"/>
                <w:sz w:val="22"/>
                <w:szCs w:val="22"/>
              </w:rPr>
            </w:pPr>
          </w:p>
          <w:p w:rsidR="00F7765C" w:rsidP="00EB5131" w:rsidRDefault="00F7765C" w14:paraId="338C71C9" w14:textId="77777777">
            <w:pPr>
              <w:rPr>
                <w:rFonts w:ascii="Arial" w:hAnsi="Arial" w:cs="Arial"/>
                <w:sz w:val="22"/>
                <w:szCs w:val="22"/>
              </w:rPr>
            </w:pPr>
          </w:p>
          <w:p w:rsidR="000D3EEA" w:rsidP="00EB5131" w:rsidRDefault="000D3EEA" w14:paraId="2DF5EAE3" w14:textId="77777777">
            <w:pPr>
              <w:rPr>
                <w:rFonts w:ascii="Arial" w:hAnsi="Arial" w:cs="Arial"/>
                <w:sz w:val="22"/>
                <w:szCs w:val="22"/>
              </w:rPr>
            </w:pPr>
            <w:r>
              <w:rPr>
                <w:rFonts w:ascii="Arial" w:hAnsi="Arial" w:cs="Arial"/>
                <w:sz w:val="22"/>
                <w:szCs w:val="22"/>
              </w:rPr>
              <w:t>i.</w:t>
            </w:r>
          </w:p>
          <w:p w:rsidR="000D3EEA" w:rsidP="00EB5131" w:rsidRDefault="000D3EEA" w14:paraId="4E40C927" w14:textId="77777777">
            <w:pPr>
              <w:rPr>
                <w:rFonts w:ascii="Arial" w:hAnsi="Arial" w:cs="Arial"/>
                <w:sz w:val="22"/>
                <w:szCs w:val="22"/>
              </w:rPr>
            </w:pPr>
            <w:r>
              <w:rPr>
                <w:rFonts w:ascii="Arial" w:hAnsi="Arial" w:cs="Arial"/>
                <w:sz w:val="22"/>
                <w:szCs w:val="22"/>
              </w:rPr>
              <w:t>ii.</w:t>
            </w:r>
          </w:p>
          <w:p w:rsidRPr="00A0581D" w:rsidR="000D3EEA" w:rsidP="00EB5131" w:rsidRDefault="000D3EEA" w14:paraId="2671A9F9" w14:textId="77777777">
            <w:pPr>
              <w:rPr>
                <w:rFonts w:ascii="Arial" w:hAnsi="Arial" w:cs="Arial"/>
                <w:sz w:val="22"/>
                <w:szCs w:val="22"/>
              </w:rPr>
            </w:pPr>
            <w:r>
              <w:rPr>
                <w:rFonts w:ascii="Arial" w:hAnsi="Arial" w:cs="Arial"/>
                <w:sz w:val="22"/>
                <w:szCs w:val="22"/>
              </w:rPr>
              <w:t>iii.</w:t>
            </w:r>
          </w:p>
        </w:tc>
        <w:tc>
          <w:tcPr>
            <w:tcW w:w="6122" w:type="dxa"/>
          </w:tcPr>
          <w:p w:rsidR="00011A97" w:rsidP="00EB5131" w:rsidRDefault="00D94935" w14:paraId="71926FE6" w14:textId="77777777">
            <w:pPr>
              <w:rPr>
                <w:rFonts w:ascii="Arial" w:hAnsi="Arial" w:cs="Arial"/>
                <w:sz w:val="22"/>
                <w:szCs w:val="22"/>
              </w:rPr>
            </w:pPr>
            <w:r w:rsidRPr="00A0581D">
              <w:rPr>
                <w:rFonts w:ascii="Arial" w:hAnsi="Arial" w:cs="Arial"/>
                <w:sz w:val="22"/>
                <w:szCs w:val="22"/>
              </w:rPr>
              <w:t>Introduction</w:t>
            </w:r>
          </w:p>
          <w:p w:rsidR="00793A2A" w:rsidP="00EB5131" w:rsidRDefault="00F7765C" w14:paraId="19DBBE79" w14:textId="77777777">
            <w:pPr>
              <w:rPr>
                <w:rFonts w:ascii="Arial" w:hAnsi="Arial" w:cs="Arial"/>
                <w:sz w:val="22"/>
                <w:szCs w:val="22"/>
              </w:rPr>
            </w:pPr>
            <w:r w:rsidRPr="00F7765C">
              <w:rPr>
                <w:rFonts w:ascii="Arial" w:hAnsi="Arial" w:cs="Arial"/>
                <w:sz w:val="22"/>
                <w:szCs w:val="22"/>
              </w:rPr>
              <w:t>July 2020: Covid-19 statement for greater Norwich homelessness strategy 2020-25</w:t>
            </w:r>
          </w:p>
          <w:p w:rsidR="000D3EEA" w:rsidP="00EB5131" w:rsidRDefault="000D3EEA" w14:paraId="1E26DB6F" w14:textId="77777777">
            <w:pPr>
              <w:rPr>
                <w:rFonts w:ascii="Arial" w:hAnsi="Arial" w:cs="Arial"/>
                <w:sz w:val="22"/>
                <w:szCs w:val="22"/>
              </w:rPr>
            </w:pPr>
            <w:r>
              <w:rPr>
                <w:rFonts w:ascii="Arial" w:hAnsi="Arial" w:cs="Arial"/>
                <w:sz w:val="22"/>
                <w:szCs w:val="22"/>
              </w:rPr>
              <w:t>Introduction</w:t>
            </w:r>
          </w:p>
          <w:p w:rsidR="000D3EEA" w:rsidP="00EB5131" w:rsidRDefault="000D3EEA" w14:paraId="53BD02FF" w14:textId="77777777">
            <w:pPr>
              <w:rPr>
                <w:rFonts w:ascii="Arial" w:hAnsi="Arial" w:cs="Arial"/>
                <w:sz w:val="22"/>
                <w:szCs w:val="22"/>
              </w:rPr>
            </w:pPr>
            <w:r>
              <w:rPr>
                <w:rFonts w:ascii="Arial" w:hAnsi="Arial" w:cs="Arial"/>
                <w:sz w:val="22"/>
                <w:szCs w:val="22"/>
              </w:rPr>
              <w:t>What have we learnt from Covid-19</w:t>
            </w:r>
          </w:p>
          <w:p w:rsidRPr="00A0581D" w:rsidR="000D3EEA" w:rsidP="00EB5131" w:rsidRDefault="000D3EEA" w14:paraId="1528CA07" w14:textId="77777777">
            <w:pPr>
              <w:rPr>
                <w:rFonts w:ascii="Arial" w:hAnsi="Arial" w:cs="Arial"/>
                <w:sz w:val="22"/>
                <w:szCs w:val="22"/>
              </w:rPr>
            </w:pPr>
            <w:r>
              <w:rPr>
                <w:rFonts w:ascii="Arial" w:hAnsi="Arial" w:cs="Arial"/>
                <w:sz w:val="22"/>
                <w:szCs w:val="22"/>
              </w:rPr>
              <w:t>Recovery Plans</w:t>
            </w:r>
          </w:p>
        </w:tc>
        <w:tc>
          <w:tcPr>
            <w:tcW w:w="1048" w:type="dxa"/>
          </w:tcPr>
          <w:p w:rsidRPr="0038076E" w:rsidR="00011A97" w:rsidRDefault="00485C36" w14:paraId="58DB3CC4" w14:textId="77777777">
            <w:pPr>
              <w:rPr>
                <w:rFonts w:ascii="Arial" w:hAnsi="Arial" w:cs="Arial"/>
                <w:sz w:val="22"/>
                <w:szCs w:val="22"/>
              </w:rPr>
            </w:pPr>
            <w:r w:rsidRPr="0038076E">
              <w:rPr>
                <w:rFonts w:ascii="Arial" w:hAnsi="Arial" w:cs="Arial"/>
                <w:sz w:val="22"/>
                <w:szCs w:val="22"/>
              </w:rPr>
              <w:t>2</w:t>
            </w:r>
            <w:r w:rsidRPr="0038076E" w:rsidR="00A77B25">
              <w:rPr>
                <w:rFonts w:ascii="Arial" w:hAnsi="Arial" w:cs="Arial"/>
                <w:sz w:val="22"/>
                <w:szCs w:val="22"/>
              </w:rPr>
              <w:t xml:space="preserve"> </w:t>
            </w:r>
          </w:p>
          <w:p w:rsidRPr="0038076E" w:rsidR="00793A2A" w:rsidRDefault="00522EF7" w14:paraId="6DB71D51" w14:textId="77777777">
            <w:pPr>
              <w:rPr>
                <w:rFonts w:ascii="Arial" w:hAnsi="Arial" w:cs="Arial"/>
                <w:sz w:val="22"/>
                <w:szCs w:val="22"/>
              </w:rPr>
            </w:pPr>
            <w:r>
              <w:rPr>
                <w:rFonts w:ascii="Arial" w:hAnsi="Arial" w:cs="Arial"/>
                <w:sz w:val="22"/>
                <w:szCs w:val="22"/>
              </w:rPr>
              <w:t>4</w:t>
            </w:r>
          </w:p>
          <w:p w:rsidR="00F7765C" w:rsidRDefault="00F7765C" w14:paraId="24EC9EC5" w14:textId="77777777">
            <w:pPr>
              <w:rPr>
                <w:rFonts w:ascii="Arial" w:hAnsi="Arial" w:cs="Arial"/>
                <w:sz w:val="22"/>
                <w:szCs w:val="22"/>
              </w:rPr>
            </w:pPr>
          </w:p>
          <w:p w:rsidRPr="0038076E" w:rsidR="000D3EEA" w:rsidRDefault="00522EF7" w14:paraId="2493A63D" w14:textId="77777777">
            <w:pPr>
              <w:rPr>
                <w:rFonts w:ascii="Arial" w:hAnsi="Arial" w:cs="Arial"/>
                <w:sz w:val="22"/>
                <w:szCs w:val="22"/>
              </w:rPr>
            </w:pPr>
            <w:r>
              <w:rPr>
                <w:rFonts w:ascii="Arial" w:hAnsi="Arial" w:cs="Arial"/>
                <w:sz w:val="22"/>
                <w:szCs w:val="22"/>
              </w:rPr>
              <w:t>4</w:t>
            </w:r>
          </w:p>
          <w:p w:rsidRPr="0038076E" w:rsidR="000D3EEA" w:rsidRDefault="000D3EEA" w14:paraId="4F5D2E41" w14:textId="77777777">
            <w:pPr>
              <w:rPr>
                <w:rFonts w:ascii="Arial" w:hAnsi="Arial" w:cs="Arial"/>
                <w:sz w:val="22"/>
                <w:szCs w:val="22"/>
              </w:rPr>
            </w:pPr>
            <w:r w:rsidRPr="0038076E">
              <w:rPr>
                <w:rFonts w:ascii="Arial" w:hAnsi="Arial" w:cs="Arial"/>
                <w:sz w:val="22"/>
                <w:szCs w:val="22"/>
              </w:rPr>
              <w:t>4</w:t>
            </w:r>
          </w:p>
          <w:p w:rsidRPr="0038076E" w:rsidR="000D3EEA" w:rsidRDefault="00522EF7" w14:paraId="44C44104" w14:textId="77777777">
            <w:pPr>
              <w:rPr>
                <w:rFonts w:ascii="Arial" w:hAnsi="Arial" w:cs="Arial"/>
                <w:sz w:val="22"/>
                <w:szCs w:val="22"/>
              </w:rPr>
            </w:pPr>
            <w:r>
              <w:rPr>
                <w:rFonts w:ascii="Arial" w:hAnsi="Arial" w:cs="Arial"/>
                <w:sz w:val="22"/>
                <w:szCs w:val="22"/>
              </w:rPr>
              <w:t>5</w:t>
            </w:r>
          </w:p>
        </w:tc>
      </w:tr>
      <w:tr w:rsidR="00011A97" w:rsidTr="00700C37" w14:paraId="17BE2674" w14:textId="77777777">
        <w:trPr>
          <w:cantSplit/>
        </w:trPr>
        <w:tc>
          <w:tcPr>
            <w:tcW w:w="1126" w:type="dxa"/>
          </w:tcPr>
          <w:p w:rsidRPr="00A0581D" w:rsidR="00011A97" w:rsidP="00EB5131" w:rsidRDefault="00D94935" w14:paraId="4D07571A" w14:textId="77777777">
            <w:pPr>
              <w:rPr>
                <w:rFonts w:ascii="Arial" w:hAnsi="Arial" w:cs="Arial"/>
                <w:sz w:val="22"/>
                <w:szCs w:val="22"/>
              </w:rPr>
            </w:pPr>
            <w:r w:rsidRPr="00A0581D">
              <w:rPr>
                <w:rFonts w:ascii="Arial" w:hAnsi="Arial" w:cs="Arial"/>
                <w:sz w:val="22"/>
                <w:szCs w:val="22"/>
              </w:rPr>
              <w:t>1.</w:t>
            </w:r>
          </w:p>
        </w:tc>
        <w:tc>
          <w:tcPr>
            <w:tcW w:w="6122" w:type="dxa"/>
          </w:tcPr>
          <w:p w:rsidRPr="00A0581D" w:rsidR="00011A97" w:rsidP="00EB5131" w:rsidRDefault="00D94935" w14:paraId="2DA55D35" w14:textId="77777777">
            <w:pPr>
              <w:rPr>
                <w:rFonts w:ascii="Arial" w:hAnsi="Arial" w:cs="Arial"/>
                <w:sz w:val="22"/>
                <w:szCs w:val="22"/>
              </w:rPr>
            </w:pPr>
            <w:r w:rsidRPr="00A0581D">
              <w:rPr>
                <w:rFonts w:ascii="Arial" w:hAnsi="Arial" w:cs="Arial"/>
                <w:sz w:val="22"/>
                <w:szCs w:val="22"/>
              </w:rPr>
              <w:t>Strategic Context and Purpose</w:t>
            </w:r>
          </w:p>
          <w:p w:rsidRPr="00A0581D" w:rsidR="00D94935" w:rsidP="00616716" w:rsidRDefault="00D94935" w14:paraId="3BF58F26" w14:textId="77777777">
            <w:pPr>
              <w:pStyle w:val="ListParagraph"/>
              <w:numPr>
                <w:ilvl w:val="1"/>
                <w:numId w:val="22"/>
              </w:numPr>
              <w:ind w:left="0" w:firstLine="0"/>
              <w:rPr>
                <w:rFonts w:ascii="Arial" w:hAnsi="Arial" w:cs="Arial"/>
                <w:sz w:val="22"/>
                <w:szCs w:val="22"/>
              </w:rPr>
            </w:pPr>
            <w:r w:rsidRPr="00A0581D">
              <w:rPr>
                <w:rFonts w:ascii="Arial" w:hAnsi="Arial" w:cs="Arial"/>
                <w:sz w:val="22"/>
                <w:szCs w:val="22"/>
              </w:rPr>
              <w:t>Rough Sleeping</w:t>
            </w:r>
          </w:p>
          <w:p w:rsidRPr="00A0581D" w:rsidR="00D94935" w:rsidP="00616716" w:rsidRDefault="00D94935" w14:paraId="568176ED" w14:textId="77777777">
            <w:pPr>
              <w:pStyle w:val="ListParagraph"/>
              <w:numPr>
                <w:ilvl w:val="1"/>
                <w:numId w:val="22"/>
              </w:numPr>
              <w:ind w:left="0" w:firstLine="0"/>
              <w:rPr>
                <w:rFonts w:ascii="Arial" w:hAnsi="Arial" w:cs="Arial"/>
                <w:sz w:val="22"/>
                <w:szCs w:val="22"/>
              </w:rPr>
            </w:pPr>
            <w:r w:rsidRPr="00A0581D">
              <w:rPr>
                <w:rFonts w:ascii="Arial" w:hAnsi="Arial" w:cs="Arial"/>
                <w:sz w:val="22"/>
                <w:szCs w:val="22"/>
              </w:rPr>
              <w:t>Homelessness Reduction Act</w:t>
            </w:r>
          </w:p>
          <w:p w:rsidRPr="00A0581D" w:rsidR="00D94935" w:rsidP="00616716" w:rsidRDefault="00D94935" w14:paraId="3FBC3EEF" w14:textId="77777777">
            <w:pPr>
              <w:pStyle w:val="ListParagraph"/>
              <w:numPr>
                <w:ilvl w:val="1"/>
                <w:numId w:val="22"/>
              </w:numPr>
              <w:ind w:left="0" w:firstLine="0"/>
              <w:rPr>
                <w:rFonts w:ascii="Arial" w:hAnsi="Arial" w:cs="Arial"/>
                <w:sz w:val="22"/>
                <w:szCs w:val="22"/>
              </w:rPr>
            </w:pPr>
            <w:r w:rsidRPr="00A0581D">
              <w:rPr>
                <w:rFonts w:ascii="Arial" w:hAnsi="Arial" w:cs="Arial"/>
                <w:sz w:val="22"/>
                <w:szCs w:val="22"/>
              </w:rPr>
              <w:t>Duty to Refer</w:t>
            </w:r>
          </w:p>
        </w:tc>
        <w:tc>
          <w:tcPr>
            <w:tcW w:w="1048" w:type="dxa"/>
          </w:tcPr>
          <w:p w:rsidRPr="0038076E" w:rsidR="00011A97" w:rsidRDefault="00A77B25" w14:paraId="33C732B0" w14:textId="77777777">
            <w:pPr>
              <w:rPr>
                <w:rFonts w:ascii="Arial" w:hAnsi="Arial" w:cs="Arial"/>
                <w:sz w:val="22"/>
                <w:szCs w:val="22"/>
              </w:rPr>
            </w:pPr>
            <w:r w:rsidRPr="0038076E">
              <w:rPr>
                <w:rFonts w:ascii="Arial" w:hAnsi="Arial" w:cs="Arial"/>
                <w:sz w:val="22"/>
                <w:szCs w:val="22"/>
              </w:rPr>
              <w:t>5</w:t>
            </w:r>
          </w:p>
          <w:p w:rsidRPr="0038076E" w:rsidR="00485C36" w:rsidRDefault="00A77B25" w14:paraId="7BF057EF" w14:textId="77777777">
            <w:pPr>
              <w:rPr>
                <w:rFonts w:ascii="Arial" w:hAnsi="Arial" w:cs="Arial"/>
                <w:sz w:val="22"/>
                <w:szCs w:val="22"/>
              </w:rPr>
            </w:pPr>
            <w:r w:rsidRPr="0038076E">
              <w:rPr>
                <w:rFonts w:ascii="Arial" w:hAnsi="Arial" w:cs="Arial"/>
                <w:sz w:val="22"/>
                <w:szCs w:val="22"/>
              </w:rPr>
              <w:t>5</w:t>
            </w:r>
          </w:p>
          <w:p w:rsidRPr="0038076E" w:rsidR="00485C36" w:rsidRDefault="00522EF7" w14:paraId="4E6A6F66" w14:textId="77777777">
            <w:pPr>
              <w:rPr>
                <w:rFonts w:ascii="Arial" w:hAnsi="Arial" w:cs="Arial"/>
                <w:sz w:val="22"/>
                <w:szCs w:val="22"/>
              </w:rPr>
            </w:pPr>
            <w:r>
              <w:rPr>
                <w:rFonts w:ascii="Arial" w:hAnsi="Arial" w:cs="Arial"/>
                <w:sz w:val="22"/>
                <w:szCs w:val="22"/>
              </w:rPr>
              <w:t>6</w:t>
            </w:r>
            <w:r w:rsidRPr="0038076E" w:rsidR="00DB011E">
              <w:rPr>
                <w:rFonts w:ascii="Arial" w:hAnsi="Arial" w:cs="Arial"/>
                <w:sz w:val="22"/>
                <w:szCs w:val="22"/>
              </w:rPr>
              <w:t xml:space="preserve"> </w:t>
            </w:r>
          </w:p>
          <w:p w:rsidRPr="0038076E" w:rsidR="00485C36" w:rsidRDefault="00A77B25" w14:paraId="64407465" w14:textId="77777777">
            <w:pPr>
              <w:rPr>
                <w:rFonts w:ascii="Arial" w:hAnsi="Arial" w:cs="Arial"/>
                <w:sz w:val="22"/>
                <w:szCs w:val="22"/>
              </w:rPr>
            </w:pPr>
            <w:r w:rsidRPr="0038076E">
              <w:rPr>
                <w:rFonts w:ascii="Arial" w:hAnsi="Arial" w:cs="Arial"/>
                <w:sz w:val="22"/>
                <w:szCs w:val="22"/>
              </w:rPr>
              <w:t xml:space="preserve">6 </w:t>
            </w:r>
          </w:p>
        </w:tc>
      </w:tr>
      <w:tr w:rsidR="00011A97" w:rsidTr="00700C37" w14:paraId="1402E3FD" w14:textId="77777777">
        <w:trPr>
          <w:cantSplit/>
        </w:trPr>
        <w:tc>
          <w:tcPr>
            <w:tcW w:w="1126" w:type="dxa"/>
          </w:tcPr>
          <w:p w:rsidRPr="00A0581D" w:rsidR="00011A97" w:rsidP="00EB5131" w:rsidRDefault="00D94935" w14:paraId="74D5E8DC" w14:textId="77777777">
            <w:pPr>
              <w:rPr>
                <w:rFonts w:ascii="Arial" w:hAnsi="Arial" w:cs="Arial"/>
                <w:sz w:val="22"/>
                <w:szCs w:val="22"/>
              </w:rPr>
            </w:pPr>
            <w:r w:rsidRPr="00A0581D">
              <w:rPr>
                <w:rFonts w:ascii="Arial" w:hAnsi="Arial" w:cs="Arial"/>
                <w:sz w:val="22"/>
                <w:szCs w:val="22"/>
              </w:rPr>
              <w:t>2.</w:t>
            </w:r>
          </w:p>
        </w:tc>
        <w:tc>
          <w:tcPr>
            <w:tcW w:w="6122" w:type="dxa"/>
          </w:tcPr>
          <w:p w:rsidRPr="00A0581D" w:rsidR="00011A97" w:rsidP="00EB5131" w:rsidRDefault="00D94935" w14:paraId="4D532D04" w14:textId="77777777">
            <w:pPr>
              <w:rPr>
                <w:rFonts w:ascii="Arial" w:hAnsi="Arial" w:cs="Arial"/>
                <w:sz w:val="22"/>
                <w:szCs w:val="22"/>
              </w:rPr>
            </w:pPr>
            <w:r w:rsidRPr="00A0581D">
              <w:rPr>
                <w:rFonts w:ascii="Arial" w:hAnsi="Arial" w:cs="Arial"/>
                <w:sz w:val="22"/>
                <w:szCs w:val="22"/>
              </w:rPr>
              <w:t>National</w:t>
            </w:r>
            <w:r w:rsidR="00911910">
              <w:rPr>
                <w:rFonts w:ascii="Arial" w:hAnsi="Arial" w:cs="Arial"/>
                <w:sz w:val="22"/>
                <w:szCs w:val="22"/>
              </w:rPr>
              <w:t xml:space="preserve"> and Local</w:t>
            </w:r>
            <w:r w:rsidRPr="00A0581D">
              <w:rPr>
                <w:rFonts w:ascii="Arial" w:hAnsi="Arial" w:cs="Arial"/>
                <w:sz w:val="22"/>
                <w:szCs w:val="22"/>
              </w:rPr>
              <w:t xml:space="preserve"> Picture of Housing Market</w:t>
            </w:r>
          </w:p>
          <w:p w:rsidRPr="00A0581D" w:rsidR="00854F1D" w:rsidP="00EB5131" w:rsidRDefault="00854F1D" w14:paraId="0AF2DE47" w14:textId="77777777">
            <w:pPr>
              <w:rPr>
                <w:rFonts w:ascii="Arial" w:hAnsi="Arial" w:cs="Arial"/>
                <w:sz w:val="22"/>
                <w:szCs w:val="22"/>
              </w:rPr>
            </w:pPr>
            <w:r w:rsidRPr="00A0581D">
              <w:rPr>
                <w:rFonts w:ascii="Arial" w:hAnsi="Arial" w:cs="Arial"/>
                <w:sz w:val="22"/>
                <w:szCs w:val="22"/>
              </w:rPr>
              <w:t>2.1 Greater Norwich Housing Market</w:t>
            </w:r>
          </w:p>
          <w:p w:rsidRPr="00A0581D" w:rsidR="00854F1D" w:rsidP="00EB5131" w:rsidRDefault="00854F1D" w14:paraId="22460BE2" w14:textId="77777777">
            <w:pPr>
              <w:rPr>
                <w:rFonts w:ascii="Arial" w:hAnsi="Arial" w:cs="Arial"/>
                <w:sz w:val="22"/>
                <w:szCs w:val="22"/>
              </w:rPr>
            </w:pPr>
            <w:r w:rsidRPr="00A0581D">
              <w:rPr>
                <w:rFonts w:ascii="Arial" w:hAnsi="Arial" w:cs="Arial"/>
                <w:sz w:val="22"/>
                <w:szCs w:val="22"/>
              </w:rPr>
              <w:t>2.2 Delivery of Affordable Housing</w:t>
            </w:r>
          </w:p>
        </w:tc>
        <w:tc>
          <w:tcPr>
            <w:tcW w:w="1048" w:type="dxa"/>
          </w:tcPr>
          <w:p w:rsidRPr="0038076E" w:rsidR="00011A97" w:rsidRDefault="00911910" w14:paraId="74429884" w14:textId="77777777">
            <w:pPr>
              <w:rPr>
                <w:rFonts w:ascii="Arial" w:hAnsi="Arial" w:cs="Arial"/>
                <w:sz w:val="22"/>
                <w:szCs w:val="22"/>
              </w:rPr>
            </w:pPr>
            <w:r w:rsidRPr="0038076E">
              <w:rPr>
                <w:rFonts w:ascii="Arial" w:hAnsi="Arial" w:cs="Arial"/>
                <w:sz w:val="22"/>
                <w:szCs w:val="22"/>
              </w:rPr>
              <w:t>6</w:t>
            </w:r>
          </w:p>
          <w:p w:rsidRPr="0038076E" w:rsidR="00485C36" w:rsidRDefault="00911910" w14:paraId="39E201BB" w14:textId="77777777">
            <w:pPr>
              <w:rPr>
                <w:rFonts w:ascii="Arial" w:hAnsi="Arial" w:cs="Arial"/>
                <w:sz w:val="22"/>
                <w:szCs w:val="22"/>
              </w:rPr>
            </w:pPr>
            <w:r w:rsidRPr="0038076E">
              <w:rPr>
                <w:rFonts w:ascii="Arial" w:hAnsi="Arial" w:cs="Arial"/>
                <w:sz w:val="22"/>
                <w:szCs w:val="22"/>
              </w:rPr>
              <w:t>7</w:t>
            </w:r>
          </w:p>
          <w:p w:rsidRPr="0038076E" w:rsidR="00BC4907" w:rsidRDefault="00911910" w14:paraId="2E692D7D" w14:textId="77777777">
            <w:pPr>
              <w:rPr>
                <w:rFonts w:ascii="Arial" w:hAnsi="Arial" w:cs="Arial"/>
                <w:sz w:val="22"/>
                <w:szCs w:val="22"/>
              </w:rPr>
            </w:pPr>
            <w:r w:rsidRPr="0038076E">
              <w:rPr>
                <w:rFonts w:ascii="Arial" w:hAnsi="Arial" w:cs="Arial"/>
                <w:sz w:val="22"/>
                <w:szCs w:val="22"/>
              </w:rPr>
              <w:t>8</w:t>
            </w:r>
          </w:p>
        </w:tc>
      </w:tr>
      <w:tr w:rsidR="00011A97" w:rsidTr="00700C37" w14:paraId="22D4A962" w14:textId="77777777">
        <w:trPr>
          <w:cantSplit/>
        </w:trPr>
        <w:tc>
          <w:tcPr>
            <w:tcW w:w="1126" w:type="dxa"/>
          </w:tcPr>
          <w:p w:rsidRPr="00A0581D" w:rsidR="00011A97" w:rsidP="00EB5131" w:rsidRDefault="00D94935" w14:paraId="4DF110A4" w14:textId="77777777">
            <w:pPr>
              <w:rPr>
                <w:rFonts w:ascii="Arial" w:hAnsi="Arial" w:cs="Arial"/>
                <w:sz w:val="22"/>
                <w:szCs w:val="22"/>
              </w:rPr>
            </w:pPr>
            <w:r w:rsidRPr="00A0581D">
              <w:rPr>
                <w:rFonts w:ascii="Arial" w:hAnsi="Arial" w:cs="Arial"/>
                <w:sz w:val="22"/>
                <w:szCs w:val="22"/>
              </w:rPr>
              <w:t>3.</w:t>
            </w:r>
          </w:p>
        </w:tc>
        <w:tc>
          <w:tcPr>
            <w:tcW w:w="6122" w:type="dxa"/>
          </w:tcPr>
          <w:p w:rsidRPr="00A0581D" w:rsidR="00011A97" w:rsidP="00EB5131" w:rsidRDefault="00854F1D" w14:paraId="3418321B" w14:textId="77777777">
            <w:pPr>
              <w:rPr>
                <w:rFonts w:ascii="Arial" w:hAnsi="Arial" w:cs="Arial"/>
                <w:sz w:val="22"/>
                <w:szCs w:val="22"/>
              </w:rPr>
            </w:pPr>
            <w:r w:rsidRPr="00A0581D">
              <w:rPr>
                <w:rFonts w:ascii="Arial" w:hAnsi="Arial" w:cs="Arial"/>
                <w:sz w:val="22"/>
                <w:szCs w:val="22"/>
              </w:rPr>
              <w:t>Homelessness Review Key Findings</w:t>
            </w:r>
          </w:p>
          <w:p w:rsidRPr="00A0581D" w:rsidR="00854F1D" w:rsidP="00EB5131" w:rsidRDefault="00854F1D" w14:paraId="1F46F713" w14:textId="77777777">
            <w:pPr>
              <w:rPr>
                <w:rFonts w:ascii="Arial" w:hAnsi="Arial" w:cs="Arial"/>
                <w:sz w:val="22"/>
                <w:szCs w:val="22"/>
              </w:rPr>
            </w:pPr>
            <w:r w:rsidRPr="00A0581D">
              <w:rPr>
                <w:rFonts w:ascii="Arial" w:hAnsi="Arial" w:cs="Arial"/>
                <w:sz w:val="22"/>
                <w:szCs w:val="22"/>
              </w:rPr>
              <w:t>3.1 National Picture</w:t>
            </w:r>
          </w:p>
          <w:p w:rsidRPr="00A0581D" w:rsidR="00854F1D" w:rsidP="00EB5131" w:rsidRDefault="00854F1D" w14:paraId="00814F66" w14:textId="77777777">
            <w:pPr>
              <w:rPr>
                <w:rFonts w:ascii="Arial" w:hAnsi="Arial" w:cs="Arial"/>
                <w:sz w:val="22"/>
                <w:szCs w:val="22"/>
              </w:rPr>
            </w:pPr>
            <w:r w:rsidRPr="00A0581D">
              <w:rPr>
                <w:rFonts w:ascii="Arial" w:hAnsi="Arial" w:cs="Arial"/>
                <w:sz w:val="22"/>
                <w:szCs w:val="22"/>
              </w:rPr>
              <w:t>3.11 Summary</w:t>
            </w:r>
          </w:p>
          <w:p w:rsidRPr="00A0581D" w:rsidR="00854F1D" w:rsidP="00EB5131" w:rsidRDefault="00854F1D" w14:paraId="7BCFB812" w14:textId="77777777">
            <w:pPr>
              <w:rPr>
                <w:rFonts w:ascii="Arial" w:hAnsi="Arial" w:cs="Arial"/>
                <w:sz w:val="22"/>
                <w:szCs w:val="22"/>
              </w:rPr>
            </w:pPr>
            <w:r w:rsidRPr="00A0581D">
              <w:rPr>
                <w:rFonts w:ascii="Arial" w:hAnsi="Arial" w:cs="Arial"/>
                <w:sz w:val="22"/>
                <w:szCs w:val="22"/>
              </w:rPr>
              <w:t>3.12 Private Rented Sector Tenancies</w:t>
            </w:r>
          </w:p>
          <w:p w:rsidRPr="00A0581D" w:rsidR="00854F1D" w:rsidP="00EB5131" w:rsidRDefault="00854F1D" w14:paraId="6AD57755" w14:textId="77777777">
            <w:pPr>
              <w:rPr>
                <w:rFonts w:ascii="Arial" w:hAnsi="Arial" w:cs="Arial"/>
                <w:sz w:val="22"/>
                <w:szCs w:val="22"/>
              </w:rPr>
            </w:pPr>
            <w:r w:rsidRPr="00A0581D">
              <w:rPr>
                <w:rFonts w:ascii="Arial" w:hAnsi="Arial" w:cs="Arial"/>
                <w:sz w:val="22"/>
                <w:szCs w:val="22"/>
              </w:rPr>
              <w:t>3.2 Local Picture</w:t>
            </w:r>
          </w:p>
          <w:p w:rsidRPr="00A0581D" w:rsidR="00854F1D" w:rsidP="00EB5131" w:rsidRDefault="00854F1D" w14:paraId="1A4FF9BB" w14:textId="77777777">
            <w:pPr>
              <w:rPr>
                <w:rFonts w:ascii="Arial" w:hAnsi="Arial" w:cs="Arial"/>
                <w:sz w:val="22"/>
                <w:szCs w:val="22"/>
              </w:rPr>
            </w:pPr>
            <w:r w:rsidRPr="00A0581D">
              <w:rPr>
                <w:rFonts w:ascii="Arial" w:hAnsi="Arial" w:cs="Arial"/>
                <w:sz w:val="22"/>
                <w:szCs w:val="22"/>
              </w:rPr>
              <w:t>3.21 Better Recording of Homelessness</w:t>
            </w:r>
          </w:p>
          <w:p w:rsidRPr="00A0581D" w:rsidR="00854F1D" w:rsidP="00EB5131" w:rsidRDefault="00854F1D" w14:paraId="092C4C89" w14:textId="77777777">
            <w:pPr>
              <w:rPr>
                <w:rFonts w:ascii="Arial" w:hAnsi="Arial" w:cs="Arial"/>
                <w:sz w:val="22"/>
                <w:szCs w:val="22"/>
              </w:rPr>
            </w:pPr>
            <w:r w:rsidRPr="00A0581D">
              <w:rPr>
                <w:rFonts w:ascii="Arial" w:hAnsi="Arial" w:cs="Arial"/>
                <w:sz w:val="22"/>
                <w:szCs w:val="22"/>
              </w:rPr>
              <w:t>3.22 Approaches to Housing Options Services</w:t>
            </w:r>
            <w:r w:rsidR="00911910">
              <w:rPr>
                <w:rFonts w:ascii="Arial" w:hAnsi="Arial" w:cs="Arial"/>
                <w:sz w:val="22"/>
                <w:szCs w:val="22"/>
              </w:rPr>
              <w:t xml:space="preserve"> for Assessment under the HRA 2017</w:t>
            </w:r>
          </w:p>
          <w:p w:rsidRPr="00A0581D" w:rsidR="00854F1D" w:rsidP="00EB5131" w:rsidRDefault="00854F1D" w14:paraId="0380CFD5" w14:textId="77777777">
            <w:pPr>
              <w:rPr>
                <w:rFonts w:ascii="Arial" w:hAnsi="Arial" w:cs="Arial"/>
                <w:sz w:val="22"/>
                <w:szCs w:val="22"/>
              </w:rPr>
            </w:pPr>
            <w:r w:rsidRPr="00A0581D">
              <w:rPr>
                <w:rFonts w:ascii="Arial" w:hAnsi="Arial" w:cs="Arial"/>
                <w:sz w:val="22"/>
                <w:szCs w:val="22"/>
              </w:rPr>
              <w:t>3.23 Household Type Seeking Help to Prevent or Relieve their Homelessness</w:t>
            </w:r>
          </w:p>
          <w:p w:rsidRPr="00A0581D" w:rsidR="00854F1D" w:rsidP="00EB5131" w:rsidRDefault="00854F1D" w14:paraId="7FB1CA5C" w14:textId="77777777">
            <w:pPr>
              <w:rPr>
                <w:rFonts w:ascii="Arial" w:hAnsi="Arial" w:cs="Arial"/>
                <w:sz w:val="22"/>
                <w:szCs w:val="22"/>
              </w:rPr>
            </w:pPr>
            <w:r w:rsidRPr="00A0581D">
              <w:rPr>
                <w:rFonts w:ascii="Arial" w:hAnsi="Arial" w:cs="Arial"/>
                <w:sz w:val="22"/>
                <w:szCs w:val="22"/>
              </w:rPr>
              <w:t>3.24 Age Bands Owed a Prevention or Relief Duty</w:t>
            </w:r>
          </w:p>
          <w:p w:rsidRPr="00A0581D" w:rsidR="00854F1D" w:rsidP="00EB5131" w:rsidRDefault="00854F1D" w14:paraId="62AD1D29" w14:textId="77777777">
            <w:pPr>
              <w:rPr>
                <w:rFonts w:ascii="Arial" w:hAnsi="Arial" w:cs="Arial"/>
                <w:sz w:val="22"/>
                <w:szCs w:val="22"/>
              </w:rPr>
            </w:pPr>
            <w:r w:rsidRPr="00A0581D">
              <w:rPr>
                <w:rFonts w:ascii="Arial" w:hAnsi="Arial" w:cs="Arial"/>
                <w:sz w:val="22"/>
                <w:szCs w:val="22"/>
              </w:rPr>
              <w:t>3.25 Employment Status of Main Applicant Owed a Prevention or Relief Duty</w:t>
            </w:r>
          </w:p>
        </w:tc>
        <w:tc>
          <w:tcPr>
            <w:tcW w:w="1048" w:type="dxa"/>
          </w:tcPr>
          <w:p w:rsidRPr="0038076E" w:rsidR="00011A97" w:rsidRDefault="00880F70" w14:paraId="2644A3E9" w14:textId="77777777">
            <w:pPr>
              <w:rPr>
                <w:rFonts w:ascii="Arial" w:hAnsi="Arial" w:cs="Arial"/>
                <w:sz w:val="22"/>
                <w:szCs w:val="22"/>
              </w:rPr>
            </w:pPr>
            <w:r w:rsidRPr="0038076E">
              <w:rPr>
                <w:rFonts w:ascii="Arial" w:hAnsi="Arial" w:cs="Arial"/>
                <w:sz w:val="22"/>
                <w:szCs w:val="22"/>
              </w:rPr>
              <w:t>10</w:t>
            </w:r>
          </w:p>
          <w:p w:rsidRPr="0038076E" w:rsidR="00485C36" w:rsidRDefault="00880F70" w14:paraId="3250D858" w14:textId="77777777">
            <w:pPr>
              <w:rPr>
                <w:rFonts w:ascii="Arial" w:hAnsi="Arial" w:cs="Arial"/>
                <w:sz w:val="22"/>
                <w:szCs w:val="22"/>
              </w:rPr>
            </w:pPr>
            <w:r w:rsidRPr="0038076E">
              <w:rPr>
                <w:rFonts w:ascii="Arial" w:hAnsi="Arial" w:cs="Arial"/>
                <w:sz w:val="22"/>
                <w:szCs w:val="22"/>
              </w:rPr>
              <w:t>10</w:t>
            </w:r>
          </w:p>
          <w:p w:rsidRPr="0038076E" w:rsidR="00485C36" w:rsidRDefault="00880F70" w14:paraId="6288725F" w14:textId="77777777">
            <w:pPr>
              <w:rPr>
                <w:rFonts w:ascii="Arial" w:hAnsi="Arial" w:cs="Arial"/>
                <w:sz w:val="22"/>
                <w:szCs w:val="22"/>
              </w:rPr>
            </w:pPr>
            <w:r w:rsidRPr="0038076E">
              <w:rPr>
                <w:rFonts w:ascii="Arial" w:hAnsi="Arial" w:cs="Arial"/>
                <w:sz w:val="22"/>
                <w:szCs w:val="22"/>
              </w:rPr>
              <w:t>10</w:t>
            </w:r>
          </w:p>
          <w:p w:rsidRPr="0038076E" w:rsidR="00485C36" w:rsidRDefault="00911910" w14:paraId="27988E84" w14:textId="77777777">
            <w:pPr>
              <w:rPr>
                <w:rFonts w:ascii="Arial" w:hAnsi="Arial" w:cs="Arial"/>
                <w:sz w:val="22"/>
                <w:szCs w:val="22"/>
              </w:rPr>
            </w:pPr>
            <w:r w:rsidRPr="0038076E">
              <w:rPr>
                <w:rFonts w:ascii="Arial" w:hAnsi="Arial" w:cs="Arial"/>
                <w:sz w:val="22"/>
                <w:szCs w:val="22"/>
              </w:rPr>
              <w:t>11</w:t>
            </w:r>
          </w:p>
          <w:p w:rsidRPr="0038076E" w:rsidR="00485C36" w:rsidRDefault="00AB7CBF" w14:paraId="22A015ED" w14:textId="77777777">
            <w:pPr>
              <w:rPr>
                <w:rFonts w:ascii="Arial" w:hAnsi="Arial" w:cs="Arial"/>
                <w:sz w:val="22"/>
                <w:szCs w:val="22"/>
              </w:rPr>
            </w:pPr>
            <w:r w:rsidRPr="0038076E">
              <w:rPr>
                <w:rFonts w:ascii="Arial" w:hAnsi="Arial" w:cs="Arial"/>
                <w:sz w:val="22"/>
                <w:szCs w:val="22"/>
              </w:rPr>
              <w:t>11</w:t>
            </w:r>
          </w:p>
          <w:p w:rsidRPr="0038076E" w:rsidR="00485C36" w:rsidRDefault="00AB7CBF" w14:paraId="7275F2DF" w14:textId="77777777">
            <w:pPr>
              <w:rPr>
                <w:rFonts w:ascii="Arial" w:hAnsi="Arial" w:cs="Arial"/>
                <w:sz w:val="22"/>
                <w:szCs w:val="22"/>
              </w:rPr>
            </w:pPr>
            <w:r w:rsidRPr="0038076E">
              <w:rPr>
                <w:rFonts w:ascii="Arial" w:hAnsi="Arial" w:cs="Arial"/>
                <w:sz w:val="22"/>
                <w:szCs w:val="22"/>
              </w:rPr>
              <w:t>11</w:t>
            </w:r>
          </w:p>
          <w:p w:rsidRPr="0038076E" w:rsidR="00EB5131" w:rsidRDefault="00911910" w14:paraId="31F343AF" w14:textId="77777777">
            <w:pPr>
              <w:rPr>
                <w:rFonts w:ascii="Arial" w:hAnsi="Arial" w:cs="Arial"/>
                <w:sz w:val="22"/>
                <w:szCs w:val="22"/>
              </w:rPr>
            </w:pPr>
            <w:r w:rsidRPr="0038076E">
              <w:rPr>
                <w:rFonts w:ascii="Arial" w:hAnsi="Arial" w:cs="Arial"/>
                <w:sz w:val="22"/>
                <w:szCs w:val="22"/>
              </w:rPr>
              <w:t>13</w:t>
            </w:r>
          </w:p>
          <w:p w:rsidRPr="0038076E" w:rsidR="00911910" w:rsidRDefault="00911910" w14:paraId="5C784EFD" w14:textId="77777777">
            <w:pPr>
              <w:rPr>
                <w:rFonts w:ascii="Arial" w:hAnsi="Arial" w:cs="Arial"/>
                <w:sz w:val="22"/>
                <w:szCs w:val="22"/>
              </w:rPr>
            </w:pPr>
          </w:p>
          <w:p w:rsidRPr="0038076E" w:rsidR="00EB5131" w:rsidRDefault="00911910" w14:paraId="0E7B2584" w14:textId="77777777">
            <w:pPr>
              <w:rPr>
                <w:rFonts w:ascii="Arial" w:hAnsi="Arial" w:cs="Arial"/>
                <w:sz w:val="22"/>
                <w:szCs w:val="22"/>
              </w:rPr>
            </w:pPr>
            <w:r w:rsidRPr="0038076E">
              <w:rPr>
                <w:rFonts w:ascii="Arial" w:hAnsi="Arial" w:cs="Arial"/>
                <w:sz w:val="22"/>
                <w:szCs w:val="22"/>
              </w:rPr>
              <w:t>15</w:t>
            </w:r>
          </w:p>
          <w:p w:rsidRPr="0038076E" w:rsidR="00EB5131" w:rsidRDefault="00EB5131" w14:paraId="255AF81F" w14:textId="77777777">
            <w:pPr>
              <w:rPr>
                <w:rFonts w:ascii="Arial" w:hAnsi="Arial" w:cs="Arial"/>
                <w:sz w:val="22"/>
                <w:szCs w:val="22"/>
              </w:rPr>
            </w:pPr>
          </w:p>
          <w:p w:rsidRPr="0038076E" w:rsidR="00EB5131" w:rsidRDefault="00AB7CBF" w14:paraId="2DED7576" w14:textId="77777777">
            <w:pPr>
              <w:rPr>
                <w:rFonts w:ascii="Arial" w:hAnsi="Arial" w:cs="Arial"/>
                <w:sz w:val="22"/>
                <w:szCs w:val="22"/>
              </w:rPr>
            </w:pPr>
            <w:r w:rsidRPr="0038076E">
              <w:rPr>
                <w:rFonts w:ascii="Arial" w:hAnsi="Arial" w:cs="Arial"/>
                <w:sz w:val="22"/>
                <w:szCs w:val="22"/>
              </w:rPr>
              <w:t>16</w:t>
            </w:r>
          </w:p>
          <w:p w:rsidRPr="0038076E" w:rsidR="00EB5131" w:rsidRDefault="00EB5131" w14:paraId="09BFEC30" w14:textId="77777777">
            <w:pPr>
              <w:rPr>
                <w:rFonts w:ascii="Arial" w:hAnsi="Arial" w:cs="Arial"/>
                <w:sz w:val="22"/>
                <w:szCs w:val="22"/>
              </w:rPr>
            </w:pPr>
            <w:r w:rsidRPr="0038076E">
              <w:rPr>
                <w:rFonts w:ascii="Arial" w:hAnsi="Arial" w:cs="Arial"/>
                <w:sz w:val="22"/>
                <w:szCs w:val="22"/>
              </w:rPr>
              <w:t>1</w:t>
            </w:r>
            <w:r w:rsidRPr="0038076E" w:rsidR="00AB7CBF">
              <w:rPr>
                <w:rFonts w:ascii="Arial" w:hAnsi="Arial" w:cs="Arial"/>
                <w:sz w:val="22"/>
                <w:szCs w:val="22"/>
              </w:rPr>
              <w:t>6</w:t>
            </w:r>
          </w:p>
        </w:tc>
      </w:tr>
      <w:tr w:rsidR="00011A97" w:rsidTr="00700C37" w14:paraId="0BE8E483" w14:textId="77777777">
        <w:trPr>
          <w:cantSplit/>
        </w:trPr>
        <w:tc>
          <w:tcPr>
            <w:tcW w:w="1126" w:type="dxa"/>
          </w:tcPr>
          <w:p w:rsidRPr="00A0581D" w:rsidR="00011A97" w:rsidP="00EB5131" w:rsidRDefault="00D94935" w14:paraId="5372D411" w14:textId="77777777">
            <w:pPr>
              <w:rPr>
                <w:rFonts w:ascii="Arial" w:hAnsi="Arial" w:cs="Arial"/>
                <w:sz w:val="22"/>
                <w:szCs w:val="22"/>
              </w:rPr>
            </w:pPr>
            <w:r w:rsidRPr="00A0581D">
              <w:rPr>
                <w:rFonts w:ascii="Arial" w:hAnsi="Arial" w:cs="Arial"/>
                <w:sz w:val="22"/>
                <w:szCs w:val="22"/>
              </w:rPr>
              <w:t>4.</w:t>
            </w:r>
          </w:p>
        </w:tc>
        <w:tc>
          <w:tcPr>
            <w:tcW w:w="6122" w:type="dxa"/>
          </w:tcPr>
          <w:p w:rsidRPr="00A0581D" w:rsidR="00011A97" w:rsidP="00EB5131" w:rsidRDefault="00854F1D" w14:paraId="773E643E" w14:textId="77777777">
            <w:pPr>
              <w:rPr>
                <w:rFonts w:ascii="Arial" w:hAnsi="Arial" w:cs="Arial"/>
                <w:sz w:val="22"/>
                <w:szCs w:val="22"/>
              </w:rPr>
            </w:pPr>
            <w:r w:rsidRPr="00A0581D">
              <w:rPr>
                <w:rFonts w:ascii="Arial" w:hAnsi="Arial" w:cs="Arial"/>
                <w:sz w:val="22"/>
                <w:szCs w:val="22"/>
              </w:rPr>
              <w:t>Development of the Strategy</w:t>
            </w:r>
          </w:p>
        </w:tc>
        <w:tc>
          <w:tcPr>
            <w:tcW w:w="1048" w:type="dxa"/>
          </w:tcPr>
          <w:p w:rsidRPr="0038076E" w:rsidR="00011A97" w:rsidRDefault="00EB5131" w14:paraId="2F989716" w14:textId="77777777">
            <w:pPr>
              <w:rPr>
                <w:rFonts w:ascii="Arial" w:hAnsi="Arial" w:cs="Arial"/>
                <w:sz w:val="22"/>
                <w:szCs w:val="22"/>
              </w:rPr>
            </w:pPr>
            <w:r w:rsidRPr="0038076E">
              <w:rPr>
                <w:rFonts w:ascii="Arial" w:hAnsi="Arial" w:cs="Arial"/>
                <w:sz w:val="22"/>
                <w:szCs w:val="22"/>
              </w:rPr>
              <w:t>1</w:t>
            </w:r>
            <w:r w:rsidRPr="0038076E" w:rsidR="00AB7CBF">
              <w:rPr>
                <w:rFonts w:ascii="Arial" w:hAnsi="Arial" w:cs="Arial"/>
                <w:sz w:val="22"/>
                <w:szCs w:val="22"/>
              </w:rPr>
              <w:t>7</w:t>
            </w:r>
          </w:p>
        </w:tc>
      </w:tr>
      <w:tr w:rsidR="00011A97" w:rsidTr="00700C37" w14:paraId="4C85B99D" w14:textId="77777777">
        <w:trPr>
          <w:cantSplit/>
        </w:trPr>
        <w:tc>
          <w:tcPr>
            <w:tcW w:w="1126" w:type="dxa"/>
          </w:tcPr>
          <w:p w:rsidRPr="00A0581D" w:rsidR="00011A97" w:rsidP="00EB5131" w:rsidRDefault="00D94935" w14:paraId="00932DF1" w14:textId="77777777">
            <w:pPr>
              <w:rPr>
                <w:rFonts w:ascii="Arial" w:hAnsi="Arial" w:cs="Arial"/>
                <w:sz w:val="22"/>
                <w:szCs w:val="22"/>
              </w:rPr>
            </w:pPr>
            <w:r w:rsidRPr="00A0581D">
              <w:rPr>
                <w:rFonts w:ascii="Arial" w:hAnsi="Arial" w:cs="Arial"/>
                <w:sz w:val="22"/>
                <w:szCs w:val="22"/>
              </w:rPr>
              <w:t>5.</w:t>
            </w:r>
          </w:p>
        </w:tc>
        <w:tc>
          <w:tcPr>
            <w:tcW w:w="6122" w:type="dxa"/>
          </w:tcPr>
          <w:p w:rsidRPr="00A0581D" w:rsidR="00011A97" w:rsidP="00EB5131" w:rsidRDefault="00854F1D" w14:paraId="29561A71" w14:textId="77777777">
            <w:pPr>
              <w:rPr>
                <w:rFonts w:ascii="Arial" w:hAnsi="Arial" w:cs="Arial"/>
                <w:sz w:val="22"/>
                <w:szCs w:val="22"/>
              </w:rPr>
            </w:pPr>
            <w:r w:rsidRPr="00A0581D">
              <w:rPr>
                <w:rFonts w:ascii="Arial" w:hAnsi="Arial" w:cs="Arial"/>
                <w:sz w:val="22"/>
                <w:szCs w:val="22"/>
              </w:rPr>
              <w:t>Where do we want to be? Our Vision</w:t>
            </w:r>
          </w:p>
        </w:tc>
        <w:tc>
          <w:tcPr>
            <w:tcW w:w="1048" w:type="dxa"/>
          </w:tcPr>
          <w:p w:rsidRPr="0038076E" w:rsidR="00011A97" w:rsidRDefault="00EB5131" w14:paraId="67413B1D" w14:textId="77777777">
            <w:pPr>
              <w:rPr>
                <w:rFonts w:ascii="Arial" w:hAnsi="Arial" w:cs="Arial"/>
                <w:sz w:val="22"/>
                <w:szCs w:val="22"/>
              </w:rPr>
            </w:pPr>
            <w:r w:rsidRPr="0038076E">
              <w:rPr>
                <w:rFonts w:ascii="Arial" w:hAnsi="Arial" w:cs="Arial"/>
                <w:sz w:val="22"/>
                <w:szCs w:val="22"/>
              </w:rPr>
              <w:t>1</w:t>
            </w:r>
            <w:r w:rsidR="00D870D8">
              <w:rPr>
                <w:rFonts w:ascii="Arial" w:hAnsi="Arial" w:cs="Arial"/>
                <w:sz w:val="22"/>
                <w:szCs w:val="22"/>
              </w:rPr>
              <w:t>7</w:t>
            </w:r>
          </w:p>
        </w:tc>
      </w:tr>
      <w:tr w:rsidR="00D94935" w:rsidTr="00700C37" w14:paraId="480E148D" w14:textId="77777777">
        <w:trPr>
          <w:cantSplit/>
        </w:trPr>
        <w:tc>
          <w:tcPr>
            <w:tcW w:w="1126" w:type="dxa"/>
          </w:tcPr>
          <w:p w:rsidRPr="00A0581D" w:rsidR="00D94935" w:rsidP="00EB5131" w:rsidRDefault="00D94935" w14:paraId="412E97BF" w14:textId="77777777">
            <w:pPr>
              <w:rPr>
                <w:rFonts w:ascii="Arial" w:hAnsi="Arial" w:cs="Arial"/>
                <w:sz w:val="22"/>
                <w:szCs w:val="22"/>
              </w:rPr>
            </w:pPr>
            <w:r w:rsidRPr="00A0581D">
              <w:rPr>
                <w:rFonts w:ascii="Arial" w:hAnsi="Arial" w:cs="Arial"/>
                <w:sz w:val="22"/>
                <w:szCs w:val="22"/>
              </w:rPr>
              <w:lastRenderedPageBreak/>
              <w:t>6.</w:t>
            </w:r>
          </w:p>
        </w:tc>
        <w:tc>
          <w:tcPr>
            <w:tcW w:w="6122" w:type="dxa"/>
          </w:tcPr>
          <w:p w:rsidRPr="00A0581D" w:rsidR="00D94935" w:rsidP="00EB5131" w:rsidRDefault="00854F1D" w14:paraId="338060D1" w14:textId="77777777">
            <w:pPr>
              <w:rPr>
                <w:rFonts w:ascii="Arial" w:hAnsi="Arial" w:cs="Arial"/>
                <w:sz w:val="22"/>
                <w:szCs w:val="22"/>
              </w:rPr>
            </w:pPr>
            <w:r w:rsidRPr="00A0581D">
              <w:rPr>
                <w:rFonts w:ascii="Arial" w:hAnsi="Arial" w:cs="Arial"/>
                <w:sz w:val="22"/>
                <w:szCs w:val="22"/>
              </w:rPr>
              <w:t>How will we get there?</w:t>
            </w:r>
          </w:p>
          <w:p w:rsidRPr="004D1E6A" w:rsidR="00854F1D" w:rsidP="00EB5131" w:rsidRDefault="00854F1D" w14:paraId="5F0EF104" w14:textId="77777777">
            <w:pPr>
              <w:rPr>
                <w:rFonts w:ascii="Arial" w:hAnsi="Arial" w:cs="Arial"/>
                <w:b/>
                <w:sz w:val="22"/>
                <w:szCs w:val="22"/>
              </w:rPr>
            </w:pPr>
            <w:r w:rsidRPr="004D1E6A">
              <w:rPr>
                <w:rFonts w:ascii="Arial" w:hAnsi="Arial" w:cs="Arial"/>
                <w:b/>
                <w:sz w:val="22"/>
                <w:szCs w:val="22"/>
              </w:rPr>
              <w:t>6.1 Priority One: Develop and Deliver Flexible Housing and Support Solutions to Enable People to Safely Move on from Domestic Abuse</w:t>
            </w:r>
          </w:p>
          <w:p w:rsidRPr="00A0581D" w:rsidR="00854F1D" w:rsidP="00EB5131" w:rsidRDefault="00854F1D" w14:paraId="5B40FE0B" w14:textId="77777777">
            <w:pPr>
              <w:rPr>
                <w:rFonts w:ascii="Arial" w:hAnsi="Arial" w:cs="Arial"/>
                <w:sz w:val="22"/>
                <w:szCs w:val="22"/>
              </w:rPr>
            </w:pPr>
            <w:r w:rsidRPr="00A0581D">
              <w:rPr>
                <w:rFonts w:ascii="Arial" w:hAnsi="Arial" w:cs="Arial"/>
                <w:sz w:val="22"/>
                <w:szCs w:val="22"/>
              </w:rPr>
              <w:t>6.11 Local and National Picture</w:t>
            </w:r>
          </w:p>
          <w:p w:rsidRPr="00A0581D" w:rsidR="00854F1D" w:rsidP="00EB5131" w:rsidRDefault="002954F2" w14:paraId="675ED2CC" w14:textId="77777777">
            <w:pPr>
              <w:rPr>
                <w:rFonts w:ascii="Arial" w:hAnsi="Arial" w:cs="Arial"/>
                <w:sz w:val="22"/>
                <w:szCs w:val="22"/>
              </w:rPr>
            </w:pPr>
            <w:r>
              <w:rPr>
                <w:rFonts w:ascii="Arial" w:hAnsi="Arial" w:cs="Arial"/>
                <w:sz w:val="22"/>
                <w:szCs w:val="22"/>
              </w:rPr>
              <w:t xml:space="preserve">6.12 </w:t>
            </w:r>
            <w:r w:rsidRPr="00A0581D" w:rsidR="00854F1D">
              <w:rPr>
                <w:rFonts w:ascii="Arial" w:hAnsi="Arial" w:cs="Arial"/>
                <w:sz w:val="22"/>
                <w:szCs w:val="22"/>
              </w:rPr>
              <w:t>Actions to Support Households Experiencing Domestic Abuse</w:t>
            </w:r>
          </w:p>
          <w:p w:rsidRPr="004D1E6A" w:rsidR="00854F1D" w:rsidP="00EB5131" w:rsidRDefault="00854F1D" w14:paraId="3BC9BE0B" w14:textId="77777777">
            <w:pPr>
              <w:rPr>
                <w:rFonts w:ascii="Arial" w:hAnsi="Arial" w:cs="Arial"/>
                <w:b/>
                <w:sz w:val="22"/>
                <w:szCs w:val="22"/>
              </w:rPr>
            </w:pPr>
            <w:r w:rsidRPr="004D1E6A">
              <w:rPr>
                <w:rFonts w:ascii="Arial" w:hAnsi="Arial" w:cs="Arial"/>
                <w:b/>
                <w:sz w:val="22"/>
                <w:szCs w:val="22"/>
              </w:rPr>
              <w:t>6.2 Priority Two: Preventing Homelessness</w:t>
            </w:r>
          </w:p>
          <w:p w:rsidRPr="00A0581D" w:rsidR="00854F1D" w:rsidP="00EB5131" w:rsidRDefault="00854F1D" w14:paraId="458C6EFB" w14:textId="77777777">
            <w:pPr>
              <w:rPr>
                <w:rFonts w:ascii="Arial" w:hAnsi="Arial" w:cs="Arial"/>
                <w:sz w:val="22"/>
                <w:szCs w:val="22"/>
              </w:rPr>
            </w:pPr>
            <w:r w:rsidRPr="00A0581D">
              <w:rPr>
                <w:rFonts w:ascii="Arial" w:hAnsi="Arial" w:cs="Arial"/>
                <w:sz w:val="22"/>
                <w:szCs w:val="22"/>
              </w:rPr>
              <w:t>6.21 Discretionary Housing Payments</w:t>
            </w:r>
          </w:p>
          <w:p w:rsidRPr="00A0581D" w:rsidR="00854F1D" w:rsidP="00EB5131" w:rsidRDefault="00854F1D" w14:paraId="378A7BDC" w14:textId="77777777">
            <w:pPr>
              <w:rPr>
                <w:rFonts w:ascii="Arial" w:hAnsi="Arial" w:cs="Arial"/>
                <w:sz w:val="22"/>
                <w:szCs w:val="22"/>
              </w:rPr>
            </w:pPr>
            <w:r w:rsidRPr="00A0581D">
              <w:rPr>
                <w:rFonts w:ascii="Arial" w:hAnsi="Arial" w:cs="Arial"/>
                <w:sz w:val="22"/>
                <w:szCs w:val="22"/>
              </w:rPr>
              <w:t>6.22 How we Approach Prevention in Greater Norwich</w:t>
            </w:r>
          </w:p>
          <w:p w:rsidRPr="00A0581D" w:rsidR="00854F1D" w:rsidP="00EB5131" w:rsidRDefault="00AA4BD6" w14:paraId="56BE773E" w14:textId="77777777">
            <w:pPr>
              <w:rPr>
                <w:rFonts w:ascii="Arial" w:hAnsi="Arial" w:cs="Arial"/>
                <w:sz w:val="22"/>
                <w:szCs w:val="22"/>
              </w:rPr>
            </w:pPr>
            <w:r>
              <w:rPr>
                <w:rFonts w:ascii="Arial" w:hAnsi="Arial" w:cs="Arial"/>
                <w:sz w:val="22"/>
                <w:szCs w:val="22"/>
              </w:rPr>
              <w:t>6.23</w:t>
            </w:r>
            <w:r w:rsidRPr="00A0581D" w:rsidR="00854F1D">
              <w:rPr>
                <w:rFonts w:ascii="Arial" w:hAnsi="Arial" w:cs="Arial"/>
                <w:sz w:val="22"/>
                <w:szCs w:val="22"/>
              </w:rPr>
              <w:t xml:space="preserve"> Actions: What we will do to Prevent Homelessness</w:t>
            </w:r>
          </w:p>
          <w:p w:rsidRPr="004D1E6A" w:rsidR="00854F1D" w:rsidP="00EB5131" w:rsidRDefault="00854F1D" w14:paraId="63F17AEF" w14:textId="77777777">
            <w:pPr>
              <w:rPr>
                <w:rFonts w:ascii="Arial" w:hAnsi="Arial" w:cs="Arial"/>
                <w:b/>
                <w:sz w:val="22"/>
                <w:szCs w:val="22"/>
              </w:rPr>
            </w:pPr>
            <w:r w:rsidRPr="004D1E6A">
              <w:rPr>
                <w:rFonts w:ascii="Arial" w:hAnsi="Arial" w:cs="Arial"/>
                <w:b/>
                <w:sz w:val="22"/>
                <w:szCs w:val="22"/>
              </w:rPr>
              <w:t>6.3 Priority Three: Single and Youth Homelessness</w:t>
            </w:r>
          </w:p>
          <w:p w:rsidRPr="00A0581D" w:rsidR="00A0581D" w:rsidP="00EB5131" w:rsidRDefault="00A0581D" w14:paraId="420614DE" w14:textId="77777777">
            <w:pPr>
              <w:rPr>
                <w:rFonts w:ascii="Arial" w:hAnsi="Arial" w:cs="Arial"/>
                <w:sz w:val="22"/>
                <w:szCs w:val="22"/>
              </w:rPr>
            </w:pPr>
            <w:r w:rsidRPr="00A0581D">
              <w:rPr>
                <w:rFonts w:ascii="Arial" w:hAnsi="Arial" w:cs="Arial"/>
                <w:sz w:val="22"/>
                <w:szCs w:val="22"/>
              </w:rPr>
              <w:t>6.31 Local Picture</w:t>
            </w:r>
          </w:p>
          <w:p w:rsidRPr="00A0581D" w:rsidR="00A0581D" w:rsidP="00EB5131" w:rsidRDefault="00A0581D" w14:paraId="7E5B4DA7" w14:textId="77777777">
            <w:pPr>
              <w:rPr>
                <w:rFonts w:ascii="Arial" w:hAnsi="Arial" w:cs="Arial"/>
                <w:sz w:val="22"/>
                <w:szCs w:val="22"/>
              </w:rPr>
            </w:pPr>
            <w:r w:rsidRPr="00A0581D">
              <w:rPr>
                <w:rFonts w:ascii="Arial" w:hAnsi="Arial" w:cs="Arial"/>
                <w:sz w:val="22"/>
                <w:szCs w:val="22"/>
              </w:rPr>
              <w:t>6.32 Engagement with Young People and External Partners</w:t>
            </w:r>
          </w:p>
          <w:p w:rsidRPr="00A0581D" w:rsidR="00A0581D" w:rsidP="00EB5131" w:rsidRDefault="00A0581D" w14:paraId="0FBF0B0A" w14:textId="77777777">
            <w:pPr>
              <w:rPr>
                <w:rFonts w:ascii="Arial" w:hAnsi="Arial" w:cs="Arial"/>
                <w:sz w:val="22"/>
                <w:szCs w:val="22"/>
              </w:rPr>
            </w:pPr>
            <w:r w:rsidRPr="00A0581D">
              <w:rPr>
                <w:rFonts w:ascii="Arial" w:hAnsi="Arial" w:cs="Arial"/>
                <w:sz w:val="22"/>
                <w:szCs w:val="22"/>
              </w:rPr>
              <w:t>6.33 Actions: What we will do about Single and Youth Homelessness</w:t>
            </w:r>
          </w:p>
          <w:p w:rsidRPr="004D1E6A" w:rsidR="00A0581D" w:rsidP="00EB5131" w:rsidRDefault="00A0581D" w14:paraId="2F172C6A" w14:textId="77777777">
            <w:pPr>
              <w:rPr>
                <w:rFonts w:ascii="Arial" w:hAnsi="Arial" w:cs="Arial"/>
                <w:b/>
                <w:sz w:val="22"/>
                <w:szCs w:val="22"/>
              </w:rPr>
            </w:pPr>
            <w:r w:rsidRPr="004D1E6A">
              <w:rPr>
                <w:rFonts w:ascii="Arial" w:hAnsi="Arial" w:cs="Arial"/>
                <w:b/>
                <w:sz w:val="22"/>
                <w:szCs w:val="22"/>
              </w:rPr>
              <w:t>6.4 Priority Four: Financial Inclusion, Welfare Reform and Economic Growth</w:t>
            </w:r>
          </w:p>
          <w:p w:rsidRPr="00A0581D" w:rsidR="00A0581D" w:rsidP="00EB5131" w:rsidRDefault="00A0581D" w14:paraId="270FB7AD" w14:textId="77777777">
            <w:pPr>
              <w:rPr>
                <w:rFonts w:ascii="Arial" w:hAnsi="Arial" w:cs="Arial"/>
                <w:sz w:val="22"/>
                <w:szCs w:val="22"/>
              </w:rPr>
            </w:pPr>
            <w:r w:rsidRPr="00A0581D">
              <w:rPr>
                <w:rFonts w:ascii="Arial" w:hAnsi="Arial" w:cs="Arial"/>
                <w:sz w:val="22"/>
                <w:szCs w:val="22"/>
              </w:rPr>
              <w:t>6.41 Poverty and Homelessness</w:t>
            </w:r>
          </w:p>
          <w:p w:rsidRPr="00A0581D" w:rsidR="00A0581D" w:rsidP="00EB5131" w:rsidRDefault="00A0581D" w14:paraId="2106212C" w14:textId="77777777">
            <w:pPr>
              <w:rPr>
                <w:rFonts w:ascii="Arial" w:hAnsi="Arial" w:cs="Arial"/>
                <w:sz w:val="22"/>
                <w:szCs w:val="22"/>
              </w:rPr>
            </w:pPr>
            <w:r w:rsidRPr="00A0581D">
              <w:rPr>
                <w:rFonts w:ascii="Arial" w:hAnsi="Arial" w:cs="Arial"/>
                <w:sz w:val="22"/>
                <w:szCs w:val="22"/>
              </w:rPr>
              <w:t>6.42 Destitution</w:t>
            </w:r>
          </w:p>
          <w:p w:rsidRPr="00A0581D" w:rsidR="00A0581D" w:rsidP="00EB5131" w:rsidRDefault="00A0581D" w14:paraId="033346BE" w14:textId="77777777">
            <w:pPr>
              <w:rPr>
                <w:rFonts w:ascii="Arial" w:hAnsi="Arial" w:cs="Arial"/>
                <w:sz w:val="22"/>
                <w:szCs w:val="22"/>
              </w:rPr>
            </w:pPr>
            <w:r w:rsidRPr="00A0581D">
              <w:rPr>
                <w:rFonts w:ascii="Arial" w:hAnsi="Arial" w:cs="Arial"/>
                <w:sz w:val="22"/>
                <w:szCs w:val="22"/>
              </w:rPr>
              <w:t>6.43 Economic Growth</w:t>
            </w:r>
          </w:p>
          <w:p w:rsidRPr="00A0581D" w:rsidR="00854F1D" w:rsidP="00EB5131" w:rsidRDefault="004156E1" w14:paraId="612D8B83" w14:textId="77777777">
            <w:pPr>
              <w:rPr>
                <w:rFonts w:ascii="Arial" w:hAnsi="Arial" w:cs="Arial"/>
                <w:sz w:val="22"/>
                <w:szCs w:val="22"/>
              </w:rPr>
            </w:pPr>
            <w:r>
              <w:rPr>
                <w:rFonts w:ascii="Arial" w:hAnsi="Arial" w:cs="Arial"/>
                <w:sz w:val="22"/>
                <w:szCs w:val="22"/>
              </w:rPr>
              <w:t xml:space="preserve">6.44 </w:t>
            </w:r>
            <w:r w:rsidRPr="00A0581D" w:rsidR="00A0581D">
              <w:rPr>
                <w:rFonts w:ascii="Arial" w:hAnsi="Arial" w:cs="Arial"/>
                <w:sz w:val="22"/>
                <w:szCs w:val="22"/>
              </w:rPr>
              <w:t>Actions</w:t>
            </w:r>
          </w:p>
        </w:tc>
        <w:tc>
          <w:tcPr>
            <w:tcW w:w="1048" w:type="dxa"/>
          </w:tcPr>
          <w:p w:rsidRPr="0038076E" w:rsidR="00D94935" w:rsidRDefault="00AB7CBF" w14:paraId="2B4E0C0A" w14:textId="77777777">
            <w:pPr>
              <w:rPr>
                <w:rFonts w:ascii="Arial" w:hAnsi="Arial" w:cs="Arial"/>
                <w:sz w:val="22"/>
                <w:szCs w:val="22"/>
              </w:rPr>
            </w:pPr>
            <w:r w:rsidRPr="0038076E">
              <w:rPr>
                <w:rFonts w:ascii="Arial" w:hAnsi="Arial" w:cs="Arial"/>
                <w:sz w:val="22"/>
                <w:szCs w:val="22"/>
              </w:rPr>
              <w:t>18</w:t>
            </w:r>
          </w:p>
          <w:p w:rsidRPr="0038076E" w:rsidR="00EB5131" w:rsidRDefault="00AB7CBF" w14:paraId="6C30B83E" w14:textId="77777777">
            <w:pPr>
              <w:rPr>
                <w:rFonts w:ascii="Arial" w:hAnsi="Arial" w:cs="Arial"/>
                <w:b/>
                <w:sz w:val="22"/>
                <w:szCs w:val="22"/>
              </w:rPr>
            </w:pPr>
            <w:r w:rsidRPr="0038076E">
              <w:rPr>
                <w:rFonts w:ascii="Arial" w:hAnsi="Arial" w:cs="Arial"/>
                <w:b/>
                <w:sz w:val="22"/>
                <w:szCs w:val="22"/>
              </w:rPr>
              <w:t>18</w:t>
            </w:r>
          </w:p>
          <w:p w:rsidRPr="0038076E" w:rsidR="00EB5131" w:rsidRDefault="00EB5131" w14:paraId="24190FD9" w14:textId="77777777">
            <w:pPr>
              <w:rPr>
                <w:rFonts w:ascii="Arial" w:hAnsi="Arial" w:cs="Arial"/>
                <w:sz w:val="22"/>
                <w:szCs w:val="22"/>
              </w:rPr>
            </w:pPr>
          </w:p>
          <w:p w:rsidRPr="0038076E" w:rsidR="00EB5131" w:rsidRDefault="00EB5131" w14:paraId="7081ABE8" w14:textId="77777777">
            <w:pPr>
              <w:rPr>
                <w:rFonts w:ascii="Arial" w:hAnsi="Arial" w:cs="Arial"/>
                <w:sz w:val="22"/>
                <w:szCs w:val="22"/>
              </w:rPr>
            </w:pPr>
          </w:p>
          <w:p w:rsidRPr="0038076E" w:rsidR="00EB5131" w:rsidRDefault="00AB7CBF" w14:paraId="39ACC656" w14:textId="77777777">
            <w:pPr>
              <w:rPr>
                <w:rFonts w:ascii="Arial" w:hAnsi="Arial" w:cs="Arial"/>
                <w:sz w:val="22"/>
                <w:szCs w:val="22"/>
              </w:rPr>
            </w:pPr>
            <w:r w:rsidRPr="0038076E">
              <w:rPr>
                <w:rFonts w:ascii="Arial" w:hAnsi="Arial" w:cs="Arial"/>
                <w:sz w:val="22"/>
                <w:szCs w:val="22"/>
              </w:rPr>
              <w:t>18</w:t>
            </w:r>
          </w:p>
          <w:p w:rsidRPr="0038076E" w:rsidR="00EB5131" w:rsidRDefault="00B71B13" w14:paraId="3441B02D" w14:textId="77777777">
            <w:pPr>
              <w:rPr>
                <w:rFonts w:ascii="Arial" w:hAnsi="Arial" w:cs="Arial"/>
                <w:sz w:val="22"/>
                <w:szCs w:val="22"/>
              </w:rPr>
            </w:pPr>
            <w:r>
              <w:rPr>
                <w:rFonts w:ascii="Arial" w:hAnsi="Arial" w:cs="Arial"/>
                <w:sz w:val="22"/>
                <w:szCs w:val="22"/>
              </w:rPr>
              <w:t>19</w:t>
            </w:r>
            <w:r w:rsidRPr="0038076E" w:rsidR="00B24175">
              <w:rPr>
                <w:rFonts w:ascii="Arial" w:hAnsi="Arial" w:cs="Arial"/>
                <w:sz w:val="22"/>
                <w:szCs w:val="22"/>
              </w:rPr>
              <w:t xml:space="preserve"> </w:t>
            </w:r>
          </w:p>
          <w:p w:rsidRPr="0038076E" w:rsidR="00EB5131" w:rsidRDefault="00EB5131" w14:paraId="57108D81" w14:textId="77777777">
            <w:pPr>
              <w:rPr>
                <w:rFonts w:ascii="Arial" w:hAnsi="Arial" w:cs="Arial"/>
                <w:sz w:val="22"/>
                <w:szCs w:val="22"/>
              </w:rPr>
            </w:pPr>
          </w:p>
          <w:p w:rsidRPr="0038076E" w:rsidR="00EB5131" w:rsidRDefault="004156E1" w14:paraId="311181EE" w14:textId="77777777">
            <w:pPr>
              <w:rPr>
                <w:rFonts w:ascii="Arial" w:hAnsi="Arial" w:cs="Arial"/>
                <w:b/>
                <w:sz w:val="22"/>
                <w:szCs w:val="22"/>
              </w:rPr>
            </w:pPr>
            <w:r w:rsidRPr="0038076E">
              <w:rPr>
                <w:rFonts w:ascii="Arial" w:hAnsi="Arial" w:cs="Arial"/>
                <w:b/>
                <w:sz w:val="22"/>
                <w:szCs w:val="22"/>
              </w:rPr>
              <w:t>20</w:t>
            </w:r>
          </w:p>
          <w:p w:rsidRPr="0038076E" w:rsidR="00EB5131" w:rsidRDefault="004156E1" w14:paraId="07B248CD" w14:textId="77777777">
            <w:pPr>
              <w:rPr>
                <w:rFonts w:ascii="Arial" w:hAnsi="Arial" w:cs="Arial"/>
                <w:sz w:val="22"/>
                <w:szCs w:val="22"/>
              </w:rPr>
            </w:pPr>
            <w:r w:rsidRPr="0038076E">
              <w:rPr>
                <w:rFonts w:ascii="Arial" w:hAnsi="Arial" w:cs="Arial"/>
                <w:sz w:val="22"/>
                <w:szCs w:val="22"/>
              </w:rPr>
              <w:t>21</w:t>
            </w:r>
          </w:p>
          <w:p w:rsidRPr="0038076E" w:rsidR="00EB5131" w:rsidRDefault="005A05C0" w14:paraId="5D9FA2EF" w14:textId="77777777">
            <w:pPr>
              <w:rPr>
                <w:rFonts w:ascii="Arial" w:hAnsi="Arial" w:cs="Arial"/>
                <w:sz w:val="22"/>
                <w:szCs w:val="22"/>
              </w:rPr>
            </w:pPr>
            <w:r>
              <w:rPr>
                <w:rFonts w:ascii="Arial" w:hAnsi="Arial" w:cs="Arial"/>
                <w:sz w:val="22"/>
                <w:szCs w:val="22"/>
              </w:rPr>
              <w:t>21</w:t>
            </w:r>
          </w:p>
          <w:p w:rsidRPr="0038076E" w:rsidR="00EB5131" w:rsidRDefault="0036454E" w14:paraId="503A8915" w14:textId="77777777">
            <w:pPr>
              <w:rPr>
                <w:rFonts w:ascii="Arial" w:hAnsi="Arial" w:cs="Arial"/>
                <w:sz w:val="22"/>
                <w:szCs w:val="22"/>
              </w:rPr>
            </w:pPr>
            <w:r>
              <w:rPr>
                <w:rFonts w:ascii="Arial" w:hAnsi="Arial" w:cs="Arial"/>
                <w:sz w:val="22"/>
                <w:szCs w:val="22"/>
              </w:rPr>
              <w:t>22</w:t>
            </w:r>
          </w:p>
          <w:p w:rsidRPr="0038076E" w:rsidR="00EB5131" w:rsidRDefault="005F7952" w14:paraId="70A9D7CC" w14:textId="77777777">
            <w:pPr>
              <w:rPr>
                <w:rFonts w:ascii="Arial" w:hAnsi="Arial" w:cs="Arial"/>
                <w:b/>
                <w:sz w:val="22"/>
                <w:szCs w:val="22"/>
              </w:rPr>
            </w:pPr>
            <w:r>
              <w:rPr>
                <w:rFonts w:ascii="Arial" w:hAnsi="Arial" w:cs="Arial"/>
                <w:b/>
                <w:sz w:val="22"/>
                <w:szCs w:val="22"/>
              </w:rPr>
              <w:t>23</w:t>
            </w:r>
          </w:p>
          <w:p w:rsidRPr="0038076E" w:rsidR="00EB5131" w:rsidRDefault="004156E1" w14:paraId="3EC89FE6" w14:textId="77777777">
            <w:pPr>
              <w:rPr>
                <w:rFonts w:ascii="Arial" w:hAnsi="Arial" w:cs="Arial"/>
                <w:sz w:val="22"/>
                <w:szCs w:val="22"/>
              </w:rPr>
            </w:pPr>
            <w:r w:rsidRPr="0038076E">
              <w:rPr>
                <w:rFonts w:ascii="Arial" w:hAnsi="Arial" w:cs="Arial"/>
                <w:sz w:val="22"/>
                <w:szCs w:val="22"/>
              </w:rPr>
              <w:t>2</w:t>
            </w:r>
            <w:r w:rsidR="005F7952">
              <w:rPr>
                <w:rFonts w:ascii="Arial" w:hAnsi="Arial" w:cs="Arial"/>
                <w:sz w:val="22"/>
                <w:szCs w:val="22"/>
              </w:rPr>
              <w:t>3</w:t>
            </w:r>
          </w:p>
          <w:p w:rsidRPr="0038076E" w:rsidR="00EB5131" w:rsidRDefault="00B24175" w14:paraId="31AB1EE3" w14:textId="77777777">
            <w:pPr>
              <w:rPr>
                <w:rFonts w:ascii="Arial" w:hAnsi="Arial" w:cs="Arial"/>
                <w:sz w:val="22"/>
                <w:szCs w:val="22"/>
              </w:rPr>
            </w:pPr>
            <w:r w:rsidRPr="0038076E">
              <w:rPr>
                <w:rFonts w:ascii="Arial" w:hAnsi="Arial" w:cs="Arial"/>
                <w:sz w:val="22"/>
                <w:szCs w:val="22"/>
              </w:rPr>
              <w:t>24</w:t>
            </w:r>
          </w:p>
          <w:p w:rsidRPr="0038076E" w:rsidR="00EB5131" w:rsidRDefault="004156E1" w14:paraId="0CCCA643" w14:textId="77777777">
            <w:pPr>
              <w:rPr>
                <w:rFonts w:ascii="Arial" w:hAnsi="Arial" w:cs="Arial"/>
                <w:sz w:val="22"/>
                <w:szCs w:val="22"/>
              </w:rPr>
            </w:pPr>
            <w:r w:rsidRPr="0038076E">
              <w:rPr>
                <w:rFonts w:ascii="Arial" w:hAnsi="Arial" w:cs="Arial"/>
                <w:sz w:val="22"/>
                <w:szCs w:val="22"/>
              </w:rPr>
              <w:t>26</w:t>
            </w:r>
          </w:p>
          <w:p w:rsidRPr="0038076E" w:rsidR="00EB5131" w:rsidRDefault="00EB5131" w14:paraId="221309DF" w14:textId="77777777">
            <w:pPr>
              <w:rPr>
                <w:rFonts w:ascii="Arial" w:hAnsi="Arial" w:cs="Arial"/>
                <w:sz w:val="22"/>
                <w:szCs w:val="22"/>
              </w:rPr>
            </w:pPr>
          </w:p>
          <w:p w:rsidRPr="0038076E" w:rsidR="00EB5131" w:rsidRDefault="004156E1" w14:paraId="4F6E65F6" w14:textId="77777777">
            <w:pPr>
              <w:rPr>
                <w:rFonts w:ascii="Arial" w:hAnsi="Arial" w:cs="Arial"/>
                <w:b/>
                <w:sz w:val="22"/>
                <w:szCs w:val="22"/>
              </w:rPr>
            </w:pPr>
            <w:r w:rsidRPr="0038076E">
              <w:rPr>
                <w:rFonts w:ascii="Arial" w:hAnsi="Arial" w:cs="Arial"/>
                <w:b/>
                <w:sz w:val="22"/>
                <w:szCs w:val="22"/>
              </w:rPr>
              <w:t>26</w:t>
            </w:r>
          </w:p>
          <w:p w:rsidRPr="0038076E" w:rsidR="00947983" w:rsidRDefault="00947983" w14:paraId="594A5FD0" w14:textId="77777777">
            <w:pPr>
              <w:rPr>
                <w:rFonts w:ascii="Arial" w:hAnsi="Arial" w:cs="Arial"/>
                <w:b/>
                <w:sz w:val="22"/>
                <w:szCs w:val="22"/>
              </w:rPr>
            </w:pPr>
          </w:p>
          <w:p w:rsidRPr="0038076E" w:rsidR="00947983" w:rsidRDefault="00522EF7" w14:paraId="154A996A" w14:textId="77777777">
            <w:pPr>
              <w:rPr>
                <w:rFonts w:ascii="Arial" w:hAnsi="Arial" w:cs="Arial"/>
                <w:sz w:val="22"/>
                <w:szCs w:val="22"/>
              </w:rPr>
            </w:pPr>
            <w:r>
              <w:rPr>
                <w:rFonts w:ascii="Arial" w:hAnsi="Arial" w:cs="Arial"/>
                <w:sz w:val="22"/>
                <w:szCs w:val="22"/>
              </w:rPr>
              <w:t>28</w:t>
            </w:r>
          </w:p>
          <w:p w:rsidRPr="0038076E" w:rsidR="00EB5131" w:rsidRDefault="004156E1" w14:paraId="69EC2BBB" w14:textId="77777777">
            <w:pPr>
              <w:rPr>
                <w:rFonts w:ascii="Arial" w:hAnsi="Arial" w:cs="Arial"/>
                <w:sz w:val="22"/>
                <w:szCs w:val="22"/>
              </w:rPr>
            </w:pPr>
            <w:r w:rsidRPr="0038076E">
              <w:rPr>
                <w:rFonts w:ascii="Arial" w:hAnsi="Arial" w:cs="Arial"/>
                <w:sz w:val="22"/>
                <w:szCs w:val="22"/>
              </w:rPr>
              <w:t>28</w:t>
            </w:r>
          </w:p>
          <w:p w:rsidRPr="0038076E" w:rsidR="00F276FD" w:rsidRDefault="004156E1" w14:paraId="245695ED" w14:textId="77777777">
            <w:pPr>
              <w:rPr>
                <w:rFonts w:ascii="Arial" w:hAnsi="Arial" w:cs="Arial"/>
                <w:sz w:val="22"/>
                <w:szCs w:val="22"/>
              </w:rPr>
            </w:pPr>
            <w:r w:rsidRPr="0038076E">
              <w:rPr>
                <w:rFonts w:ascii="Arial" w:hAnsi="Arial" w:cs="Arial"/>
                <w:sz w:val="22"/>
                <w:szCs w:val="22"/>
              </w:rPr>
              <w:t>29</w:t>
            </w:r>
          </w:p>
          <w:p w:rsidRPr="0038076E" w:rsidR="00F276FD" w:rsidRDefault="00B24175" w14:paraId="28C27BA4" w14:textId="77777777">
            <w:pPr>
              <w:rPr>
                <w:rFonts w:ascii="Arial" w:hAnsi="Arial" w:cs="Arial"/>
                <w:sz w:val="22"/>
                <w:szCs w:val="22"/>
              </w:rPr>
            </w:pPr>
            <w:r w:rsidRPr="0038076E">
              <w:rPr>
                <w:rFonts w:ascii="Arial" w:hAnsi="Arial" w:cs="Arial"/>
                <w:sz w:val="22"/>
                <w:szCs w:val="22"/>
              </w:rPr>
              <w:t>30</w:t>
            </w:r>
          </w:p>
        </w:tc>
      </w:tr>
      <w:tr w:rsidR="00D94935" w:rsidTr="00700C37" w14:paraId="3430394F" w14:textId="77777777">
        <w:trPr>
          <w:cantSplit/>
        </w:trPr>
        <w:tc>
          <w:tcPr>
            <w:tcW w:w="1126" w:type="dxa"/>
          </w:tcPr>
          <w:p w:rsidRPr="00A0581D" w:rsidR="00D94935" w:rsidP="00EB5131" w:rsidRDefault="00D94935" w14:paraId="5F37341F" w14:textId="77777777">
            <w:pPr>
              <w:rPr>
                <w:rFonts w:ascii="Arial" w:hAnsi="Arial" w:cs="Arial"/>
                <w:sz w:val="22"/>
                <w:szCs w:val="22"/>
              </w:rPr>
            </w:pPr>
            <w:r w:rsidRPr="00A0581D">
              <w:rPr>
                <w:rFonts w:ascii="Arial" w:hAnsi="Arial" w:cs="Arial"/>
                <w:sz w:val="22"/>
                <w:szCs w:val="22"/>
              </w:rPr>
              <w:t>7.</w:t>
            </w:r>
          </w:p>
        </w:tc>
        <w:tc>
          <w:tcPr>
            <w:tcW w:w="6122" w:type="dxa"/>
          </w:tcPr>
          <w:p w:rsidRPr="00A0581D" w:rsidR="00D94935" w:rsidP="00EB5131" w:rsidRDefault="00A0581D" w14:paraId="63D76D5D" w14:textId="77777777">
            <w:pPr>
              <w:rPr>
                <w:rFonts w:ascii="Arial" w:hAnsi="Arial" w:cs="Arial"/>
                <w:sz w:val="22"/>
                <w:szCs w:val="22"/>
              </w:rPr>
            </w:pPr>
            <w:r w:rsidRPr="00A0581D">
              <w:rPr>
                <w:rFonts w:ascii="Arial" w:hAnsi="Arial" w:cs="Arial"/>
                <w:sz w:val="22"/>
                <w:szCs w:val="22"/>
              </w:rPr>
              <w:t>Monitoring of the Strategy</w:t>
            </w:r>
          </w:p>
        </w:tc>
        <w:tc>
          <w:tcPr>
            <w:tcW w:w="1048" w:type="dxa"/>
          </w:tcPr>
          <w:p w:rsidRPr="0038076E" w:rsidR="00D94935" w:rsidRDefault="00485C36" w14:paraId="5A8B7C66" w14:textId="77777777">
            <w:pPr>
              <w:rPr>
                <w:rFonts w:ascii="Arial" w:hAnsi="Arial" w:cs="Arial"/>
                <w:sz w:val="22"/>
                <w:szCs w:val="22"/>
              </w:rPr>
            </w:pPr>
            <w:r w:rsidRPr="0038076E">
              <w:rPr>
                <w:rFonts w:ascii="Arial" w:hAnsi="Arial" w:cs="Arial"/>
                <w:sz w:val="22"/>
                <w:szCs w:val="22"/>
              </w:rPr>
              <w:t>3</w:t>
            </w:r>
            <w:r w:rsidRPr="0038076E" w:rsidR="004156E1">
              <w:rPr>
                <w:rFonts w:ascii="Arial" w:hAnsi="Arial" w:cs="Arial"/>
                <w:sz w:val="22"/>
                <w:szCs w:val="22"/>
              </w:rPr>
              <w:t>0</w:t>
            </w:r>
          </w:p>
        </w:tc>
      </w:tr>
      <w:tr w:rsidR="00D94935" w:rsidTr="00700C37" w14:paraId="7EFDAAF1" w14:textId="77777777">
        <w:trPr>
          <w:cantSplit/>
        </w:trPr>
        <w:tc>
          <w:tcPr>
            <w:tcW w:w="1126" w:type="dxa"/>
          </w:tcPr>
          <w:p w:rsidRPr="00A0581D" w:rsidR="00D94935" w:rsidP="00EB5131" w:rsidRDefault="00D94935" w14:paraId="391366E3" w14:textId="77777777">
            <w:pPr>
              <w:rPr>
                <w:rFonts w:ascii="Arial" w:hAnsi="Arial" w:cs="Arial"/>
                <w:sz w:val="22"/>
                <w:szCs w:val="22"/>
              </w:rPr>
            </w:pPr>
            <w:r w:rsidRPr="00A0581D">
              <w:rPr>
                <w:rFonts w:ascii="Arial" w:hAnsi="Arial" w:cs="Arial"/>
                <w:sz w:val="22"/>
                <w:szCs w:val="22"/>
              </w:rPr>
              <w:t>8.</w:t>
            </w:r>
          </w:p>
        </w:tc>
        <w:tc>
          <w:tcPr>
            <w:tcW w:w="6122" w:type="dxa"/>
          </w:tcPr>
          <w:p w:rsidRPr="00A0581D" w:rsidR="00D94935" w:rsidP="00EB5131" w:rsidRDefault="00A0581D" w14:paraId="385EEE7A" w14:textId="77777777">
            <w:pPr>
              <w:rPr>
                <w:rFonts w:ascii="Arial" w:hAnsi="Arial" w:cs="Arial"/>
                <w:sz w:val="22"/>
                <w:szCs w:val="22"/>
              </w:rPr>
            </w:pPr>
            <w:r w:rsidRPr="00A0581D">
              <w:rPr>
                <w:rFonts w:ascii="Arial" w:hAnsi="Arial" w:cs="Arial"/>
                <w:sz w:val="22"/>
                <w:szCs w:val="22"/>
              </w:rPr>
              <w:t>Glossary of Terms</w:t>
            </w:r>
          </w:p>
        </w:tc>
        <w:tc>
          <w:tcPr>
            <w:tcW w:w="1048" w:type="dxa"/>
          </w:tcPr>
          <w:p w:rsidRPr="0038076E" w:rsidR="00D94935" w:rsidRDefault="00485C36" w14:paraId="2CEF9A42" w14:textId="77777777">
            <w:pPr>
              <w:rPr>
                <w:rFonts w:ascii="Arial" w:hAnsi="Arial" w:cs="Arial"/>
                <w:sz w:val="22"/>
                <w:szCs w:val="22"/>
              </w:rPr>
            </w:pPr>
            <w:r w:rsidRPr="0038076E">
              <w:rPr>
                <w:rFonts w:ascii="Arial" w:hAnsi="Arial" w:cs="Arial"/>
                <w:sz w:val="22"/>
                <w:szCs w:val="22"/>
              </w:rPr>
              <w:t>3</w:t>
            </w:r>
            <w:r w:rsidRPr="0038076E" w:rsidR="00B24175">
              <w:rPr>
                <w:rFonts w:ascii="Arial" w:hAnsi="Arial" w:cs="Arial"/>
                <w:sz w:val="22"/>
                <w:szCs w:val="22"/>
              </w:rPr>
              <w:t>1</w:t>
            </w:r>
          </w:p>
        </w:tc>
      </w:tr>
    </w:tbl>
    <w:p w:rsidR="004D1E6A" w:rsidRDefault="004D1E6A" w14:paraId="6493DF00" w14:textId="77777777">
      <w:pPr>
        <w:rPr>
          <w:rFonts w:ascii="Arial" w:hAnsi="Arial" w:cs="Arial"/>
          <w:b/>
          <w:sz w:val="28"/>
          <w:szCs w:val="28"/>
        </w:rPr>
      </w:pPr>
    </w:p>
    <w:p w:rsidR="000C04A0" w:rsidP="00F8746D" w:rsidRDefault="00605263" w14:paraId="17DF0228" w14:textId="77777777">
      <w:pPr>
        <w:pStyle w:val="GNHS2"/>
      </w:pPr>
      <w:r>
        <w:t>Introduction</w:t>
      </w:r>
    </w:p>
    <w:p w:rsidRPr="00B549CD" w:rsidR="005A7CF0" w:rsidP="00F8746D" w:rsidRDefault="005A7CF0" w14:paraId="6162755F" w14:textId="77777777">
      <w:pPr>
        <w:pStyle w:val="GNHS2"/>
        <w:rPr>
          <w:rStyle w:val="SubtleEmphasis"/>
        </w:rPr>
      </w:pPr>
    </w:p>
    <w:p w:rsidRPr="00626EE8" w:rsidR="000C04A0" w:rsidP="00007A21" w:rsidRDefault="000C04A0" w14:paraId="193DAA3C" w14:textId="77777777">
      <w:pPr>
        <w:rPr>
          <w:rFonts w:ascii="Arial" w:hAnsi="Arial" w:cs="Arial"/>
        </w:rPr>
      </w:pPr>
      <w:r w:rsidRPr="00626EE8">
        <w:rPr>
          <w:rFonts w:ascii="Arial" w:hAnsi="Arial" w:cs="Arial"/>
        </w:rPr>
        <w:t>This documen</w:t>
      </w:r>
      <w:r w:rsidR="00171CD6">
        <w:rPr>
          <w:rFonts w:ascii="Arial" w:hAnsi="Arial" w:cs="Arial"/>
        </w:rPr>
        <w:t>t marks</w:t>
      </w:r>
      <w:r w:rsidRPr="00626EE8">
        <w:rPr>
          <w:rFonts w:ascii="Arial" w:hAnsi="Arial" w:cs="Arial"/>
        </w:rPr>
        <w:t xml:space="preserve"> the </w:t>
      </w:r>
      <w:r w:rsidRPr="00626EE8" w:rsidR="002F7EA5">
        <w:rPr>
          <w:rFonts w:ascii="Arial" w:hAnsi="Arial" w:cs="Arial"/>
        </w:rPr>
        <w:t>fourth</w:t>
      </w:r>
      <w:r w:rsidRPr="00626EE8">
        <w:rPr>
          <w:rFonts w:ascii="Arial" w:hAnsi="Arial" w:cs="Arial"/>
        </w:rPr>
        <w:t xml:space="preserve"> </w:t>
      </w:r>
      <w:r w:rsidRPr="00626EE8" w:rsidR="00E50821">
        <w:rPr>
          <w:rFonts w:ascii="Arial" w:hAnsi="Arial" w:cs="Arial"/>
        </w:rPr>
        <w:t>occasion that</w:t>
      </w:r>
      <w:r w:rsidRPr="00626EE8">
        <w:rPr>
          <w:rFonts w:ascii="Arial" w:hAnsi="Arial" w:cs="Arial"/>
        </w:rPr>
        <w:t xml:space="preserve"> Broadland, Norwich City and South Norfolk Councils</w:t>
      </w:r>
      <w:r w:rsidRPr="00626EE8" w:rsidR="00E50821">
        <w:rPr>
          <w:rFonts w:ascii="Arial" w:hAnsi="Arial" w:cs="Arial"/>
        </w:rPr>
        <w:t xml:space="preserve"> have worked </w:t>
      </w:r>
      <w:r w:rsidRPr="00626EE8" w:rsidR="002F7EA5">
        <w:rPr>
          <w:rFonts w:ascii="Arial" w:hAnsi="Arial" w:cs="Arial"/>
        </w:rPr>
        <w:t xml:space="preserve">together to develop </w:t>
      </w:r>
      <w:r w:rsidRPr="00626EE8" w:rsidR="00E50821">
        <w:rPr>
          <w:rFonts w:ascii="Arial" w:hAnsi="Arial" w:cs="Arial"/>
        </w:rPr>
        <w:t>a homelessness strategy for the Greater Norwich area.</w:t>
      </w:r>
    </w:p>
    <w:p w:rsidR="000C04A0" w:rsidP="00007A21" w:rsidRDefault="000C04A0" w14:paraId="6DB888C6" w14:textId="77777777">
      <w:pPr>
        <w:rPr>
          <w:rFonts w:ascii="Arial" w:hAnsi="Arial" w:cs="Arial"/>
        </w:rPr>
      </w:pPr>
    </w:p>
    <w:p w:rsidRPr="00C028B7" w:rsidR="00171CD6" w:rsidP="00007A21" w:rsidRDefault="00171CD6" w14:paraId="5B6410FC" w14:textId="77777777">
      <w:pPr>
        <w:rPr>
          <w:rFonts w:ascii="Arial" w:hAnsi="Arial" w:cs="Arial"/>
        </w:rPr>
      </w:pPr>
      <w:r w:rsidRPr="00C028B7">
        <w:rPr>
          <w:rFonts w:ascii="Arial" w:hAnsi="Arial" w:cs="Arial"/>
        </w:rPr>
        <w:t>In doing so, we are working from the foll</w:t>
      </w:r>
      <w:r w:rsidR="006B7729">
        <w:rPr>
          <w:rFonts w:ascii="Arial" w:hAnsi="Arial" w:cs="Arial"/>
        </w:rPr>
        <w:t>owing key assumptions</w:t>
      </w:r>
      <w:r w:rsidRPr="00C028B7">
        <w:rPr>
          <w:rFonts w:ascii="Arial" w:hAnsi="Arial" w:cs="Arial"/>
        </w:rPr>
        <w:t>:</w:t>
      </w:r>
    </w:p>
    <w:p w:rsidRPr="00C028B7" w:rsidR="00171CD6" w:rsidP="00616716" w:rsidRDefault="00171CD6" w14:paraId="28EC7388" w14:textId="77777777">
      <w:pPr>
        <w:pStyle w:val="ListParagraph"/>
        <w:numPr>
          <w:ilvl w:val="0"/>
          <w:numId w:val="32"/>
        </w:numPr>
        <w:rPr>
          <w:rFonts w:ascii="Arial" w:hAnsi="Arial" w:cs="Arial"/>
        </w:rPr>
      </w:pPr>
      <w:r w:rsidRPr="00C028B7">
        <w:rPr>
          <w:rFonts w:ascii="Arial" w:hAnsi="Arial" w:cs="Arial"/>
        </w:rPr>
        <w:t>We will offer wraparound, multi-agency services that puts the individual or household at the centre in order to prevent homelessness.</w:t>
      </w:r>
    </w:p>
    <w:p w:rsidRPr="00C028B7" w:rsidR="00171CD6" w:rsidP="00616716" w:rsidRDefault="000C04A0" w14:paraId="1218F609" w14:textId="77777777">
      <w:pPr>
        <w:pStyle w:val="ListParagraph"/>
        <w:numPr>
          <w:ilvl w:val="0"/>
          <w:numId w:val="32"/>
        </w:numPr>
        <w:rPr>
          <w:rFonts w:ascii="Arial" w:hAnsi="Arial" w:cs="Arial"/>
        </w:rPr>
      </w:pPr>
      <w:r w:rsidRPr="00C028B7">
        <w:rPr>
          <w:rFonts w:ascii="Arial" w:hAnsi="Arial" w:cs="Arial"/>
        </w:rPr>
        <w:t xml:space="preserve">We </w:t>
      </w:r>
      <w:r w:rsidRPr="00C028B7" w:rsidR="00626EE8">
        <w:rPr>
          <w:rFonts w:ascii="Arial" w:hAnsi="Arial" w:cs="Arial"/>
        </w:rPr>
        <w:t xml:space="preserve">want to prevent </w:t>
      </w:r>
      <w:r w:rsidRPr="00C028B7" w:rsidR="00171CD6">
        <w:rPr>
          <w:rFonts w:ascii="Arial" w:hAnsi="Arial" w:cs="Arial"/>
        </w:rPr>
        <w:t xml:space="preserve">and alleviate </w:t>
      </w:r>
      <w:r w:rsidRPr="00C028B7" w:rsidR="00626EE8">
        <w:rPr>
          <w:rFonts w:ascii="Arial" w:hAnsi="Arial" w:cs="Arial"/>
        </w:rPr>
        <w:t>homelessness in addition to reducing</w:t>
      </w:r>
      <w:r w:rsidRPr="00C028B7">
        <w:rPr>
          <w:rFonts w:ascii="Arial" w:hAnsi="Arial" w:cs="Arial"/>
        </w:rPr>
        <w:t xml:space="preserve"> the drivers of homelessness </w:t>
      </w:r>
    </w:p>
    <w:p w:rsidRPr="00C028B7" w:rsidR="00171CD6" w:rsidP="00616716" w:rsidRDefault="00171CD6" w14:paraId="62A371A3" w14:textId="77777777">
      <w:pPr>
        <w:pStyle w:val="ListParagraph"/>
        <w:numPr>
          <w:ilvl w:val="0"/>
          <w:numId w:val="32"/>
        </w:numPr>
        <w:rPr>
          <w:rFonts w:ascii="Arial" w:hAnsi="Arial" w:cs="Arial"/>
        </w:rPr>
      </w:pPr>
      <w:r w:rsidRPr="00C028B7">
        <w:rPr>
          <w:rFonts w:ascii="Arial" w:hAnsi="Arial" w:cs="Arial"/>
        </w:rPr>
        <w:t xml:space="preserve">We will work in partnership with other statutory services, </w:t>
      </w:r>
      <w:r w:rsidRPr="00C028B7" w:rsidR="00CE78BC">
        <w:rPr>
          <w:rFonts w:ascii="Arial" w:hAnsi="Arial" w:cs="Arial"/>
        </w:rPr>
        <w:t>organisations and the voluntary and community sectors to achieve this.</w:t>
      </w:r>
      <w:r w:rsidRPr="00C028B7">
        <w:rPr>
          <w:rFonts w:ascii="Arial" w:hAnsi="Arial" w:cs="Arial"/>
        </w:rPr>
        <w:t xml:space="preserve"> </w:t>
      </w:r>
    </w:p>
    <w:p w:rsidRPr="00C028B7" w:rsidR="00171CD6" w:rsidP="00171CD6" w:rsidRDefault="00171CD6" w14:paraId="334B6729" w14:textId="77777777">
      <w:pPr>
        <w:ind w:left="360"/>
        <w:rPr>
          <w:rFonts w:ascii="Arial" w:hAnsi="Arial" w:cs="Arial"/>
        </w:rPr>
      </w:pPr>
    </w:p>
    <w:p w:rsidRPr="00C028B7" w:rsidR="000C04A0" w:rsidP="00171CD6" w:rsidRDefault="00303CDC" w14:paraId="6EC16DC7" w14:textId="77777777">
      <w:pPr>
        <w:rPr>
          <w:rFonts w:ascii="Arial" w:hAnsi="Arial" w:cs="Arial"/>
        </w:rPr>
      </w:pPr>
      <w:r w:rsidRPr="00C028B7">
        <w:rPr>
          <w:rFonts w:ascii="Arial" w:hAnsi="Arial" w:cs="Arial"/>
        </w:rPr>
        <w:t xml:space="preserve">In order to meet these assumptions, we are focussing on the following four priority </w:t>
      </w:r>
      <w:r w:rsidRPr="00C028B7" w:rsidR="000C04A0">
        <w:rPr>
          <w:rFonts w:ascii="Arial" w:hAnsi="Arial" w:cs="Arial"/>
        </w:rPr>
        <w:t>areas:</w:t>
      </w:r>
    </w:p>
    <w:p w:rsidRPr="00C028B7" w:rsidR="00C1688F" w:rsidP="00007A21" w:rsidRDefault="00C1688F" w14:paraId="0D9D5BFD" w14:textId="77777777">
      <w:pPr>
        <w:rPr>
          <w:rFonts w:ascii="Arial" w:hAnsi="Arial" w:cs="Arial"/>
        </w:rPr>
      </w:pPr>
    </w:p>
    <w:p w:rsidRPr="00C028B7" w:rsidR="00C1688F" w:rsidP="00007A21" w:rsidRDefault="00C1688F" w14:paraId="68DEB394" w14:textId="77777777">
      <w:pPr>
        <w:pStyle w:val="ListParagraph"/>
        <w:numPr>
          <w:ilvl w:val="0"/>
          <w:numId w:val="1"/>
        </w:numPr>
        <w:ind w:left="0" w:firstLine="0"/>
        <w:rPr>
          <w:rFonts w:ascii="Arial" w:hAnsi="Arial" w:cs="Arial"/>
        </w:rPr>
      </w:pPr>
      <w:r w:rsidRPr="00C028B7">
        <w:rPr>
          <w:rFonts w:ascii="Arial" w:hAnsi="Arial" w:cs="Arial"/>
        </w:rPr>
        <w:t>Domestic Abuse</w:t>
      </w:r>
    </w:p>
    <w:p w:rsidRPr="00C028B7" w:rsidR="000C04A0" w:rsidP="00007A21" w:rsidRDefault="000C04A0" w14:paraId="429C1739" w14:textId="77777777">
      <w:pPr>
        <w:pStyle w:val="ListParagraph"/>
        <w:numPr>
          <w:ilvl w:val="0"/>
          <w:numId w:val="1"/>
        </w:numPr>
        <w:ind w:left="0" w:firstLine="0"/>
        <w:rPr>
          <w:rFonts w:ascii="Arial" w:hAnsi="Arial" w:cs="Arial"/>
        </w:rPr>
      </w:pPr>
      <w:r w:rsidRPr="00C028B7">
        <w:rPr>
          <w:rFonts w:ascii="Arial" w:hAnsi="Arial" w:cs="Arial"/>
        </w:rPr>
        <w:t>Preventing Homelessness</w:t>
      </w:r>
    </w:p>
    <w:p w:rsidRPr="00C028B7" w:rsidR="000C04A0" w:rsidP="00007A21" w:rsidRDefault="000C04A0" w14:paraId="7933B31B" w14:textId="77777777">
      <w:pPr>
        <w:pStyle w:val="ListParagraph"/>
        <w:numPr>
          <w:ilvl w:val="0"/>
          <w:numId w:val="1"/>
        </w:numPr>
        <w:ind w:left="0" w:firstLine="0"/>
        <w:rPr>
          <w:rFonts w:ascii="Arial" w:hAnsi="Arial" w:cs="Arial"/>
        </w:rPr>
      </w:pPr>
      <w:r w:rsidRPr="00C028B7">
        <w:rPr>
          <w:rFonts w:ascii="Arial" w:hAnsi="Arial" w:cs="Arial"/>
        </w:rPr>
        <w:t>Single and Youth Homelessness</w:t>
      </w:r>
    </w:p>
    <w:p w:rsidRPr="00C028B7" w:rsidR="000C04A0" w:rsidP="00007A21" w:rsidRDefault="000C04A0" w14:paraId="4F6B0500" w14:textId="77777777">
      <w:pPr>
        <w:pStyle w:val="ListParagraph"/>
        <w:numPr>
          <w:ilvl w:val="0"/>
          <w:numId w:val="1"/>
        </w:numPr>
        <w:ind w:left="0" w:firstLine="0"/>
        <w:rPr>
          <w:rFonts w:ascii="Arial" w:hAnsi="Arial" w:cs="Arial"/>
        </w:rPr>
      </w:pPr>
      <w:r w:rsidRPr="00C028B7">
        <w:rPr>
          <w:rFonts w:ascii="Arial" w:hAnsi="Arial" w:cs="Arial"/>
        </w:rPr>
        <w:t>Financial Inclusion, Welfare Reform and Economic Growth</w:t>
      </w:r>
    </w:p>
    <w:p w:rsidRPr="00626EE8" w:rsidR="006205DE" w:rsidP="00007A21" w:rsidRDefault="006205DE" w14:paraId="57ABA3F2" w14:textId="77777777">
      <w:pPr>
        <w:rPr>
          <w:rFonts w:ascii="Arial" w:hAnsi="Arial" w:cs="Arial"/>
        </w:rPr>
      </w:pPr>
    </w:p>
    <w:p w:rsidRPr="00626EE8" w:rsidR="006205DE" w:rsidP="00007A21" w:rsidRDefault="00626EE8" w14:paraId="6EBD57AC" w14:textId="77777777">
      <w:pPr>
        <w:rPr>
          <w:rFonts w:ascii="Arial" w:hAnsi="Arial" w:cs="Arial"/>
        </w:rPr>
      </w:pPr>
      <w:r w:rsidRPr="00626EE8">
        <w:rPr>
          <w:rFonts w:ascii="Arial" w:hAnsi="Arial" w:cs="Arial"/>
        </w:rPr>
        <w:t xml:space="preserve">Furthermore, </w:t>
      </w:r>
      <w:r w:rsidRPr="00626EE8" w:rsidR="006205DE">
        <w:rPr>
          <w:rFonts w:ascii="Arial" w:hAnsi="Arial" w:cs="Arial"/>
        </w:rPr>
        <w:t>Mental Ill Health can be a significant factor in increasing the risk of homelessne</w:t>
      </w:r>
      <w:r w:rsidRPr="00626EE8">
        <w:rPr>
          <w:rFonts w:ascii="Arial" w:hAnsi="Arial" w:cs="Arial"/>
        </w:rPr>
        <w:t>ss in addition</w:t>
      </w:r>
      <w:r w:rsidR="008301E9">
        <w:rPr>
          <w:rFonts w:ascii="Arial" w:hAnsi="Arial" w:cs="Arial"/>
        </w:rPr>
        <w:t>, for those who are homeless</w:t>
      </w:r>
      <w:r w:rsidRPr="00626EE8">
        <w:rPr>
          <w:rFonts w:ascii="Arial" w:hAnsi="Arial" w:cs="Arial"/>
        </w:rPr>
        <w:t xml:space="preserve"> or at risk of </w:t>
      </w:r>
      <w:r w:rsidRPr="00626EE8">
        <w:rPr>
          <w:rFonts w:ascii="Arial" w:hAnsi="Arial" w:cs="Arial"/>
        </w:rPr>
        <w:lastRenderedPageBreak/>
        <w:t>homelessness there can be a higher incidence of a negative impact on mental health.</w:t>
      </w:r>
      <w:r w:rsidRPr="00626EE8" w:rsidR="006205DE">
        <w:rPr>
          <w:rFonts w:ascii="Arial" w:hAnsi="Arial" w:cs="Arial"/>
        </w:rPr>
        <w:t xml:space="preserve"> In this respect, acknowledgement of Mental Health is woven through our p</w:t>
      </w:r>
      <w:r w:rsidRPr="00626EE8" w:rsidR="00D31773">
        <w:rPr>
          <w:rFonts w:ascii="Arial" w:hAnsi="Arial" w:cs="Arial"/>
        </w:rPr>
        <w:t>riorities instead of as a stand-</w:t>
      </w:r>
      <w:r w:rsidRPr="00626EE8" w:rsidR="006205DE">
        <w:rPr>
          <w:rFonts w:ascii="Arial" w:hAnsi="Arial" w:cs="Arial"/>
        </w:rPr>
        <w:t>alone area.</w:t>
      </w:r>
    </w:p>
    <w:p w:rsidR="00303CDC" w:rsidP="00007A21" w:rsidRDefault="00303CDC" w14:paraId="70D95CBD" w14:textId="77777777">
      <w:pPr>
        <w:rPr>
          <w:rFonts w:ascii="Arial" w:hAnsi="Arial" w:cs="Arial"/>
        </w:rPr>
      </w:pPr>
    </w:p>
    <w:p w:rsidRPr="00C028B7" w:rsidR="00E50821" w:rsidP="00007A21" w:rsidRDefault="00303CDC" w14:paraId="5DC7B738" w14:textId="77777777">
      <w:pPr>
        <w:rPr>
          <w:rFonts w:ascii="Arial" w:hAnsi="Arial" w:cs="Arial"/>
        </w:rPr>
      </w:pPr>
      <w:r w:rsidRPr="00C028B7">
        <w:rPr>
          <w:rFonts w:ascii="Arial" w:hAnsi="Arial" w:cs="Arial"/>
        </w:rPr>
        <w:t xml:space="preserve">As highlighted above, </w:t>
      </w:r>
      <w:r w:rsidRPr="00C028B7" w:rsidR="00626EE8">
        <w:rPr>
          <w:rFonts w:ascii="Arial" w:hAnsi="Arial" w:cs="Arial"/>
        </w:rPr>
        <w:t>as local authorities, we cannot work</w:t>
      </w:r>
      <w:r w:rsidRPr="00C028B7" w:rsidR="00E50821">
        <w:rPr>
          <w:rFonts w:ascii="Arial" w:hAnsi="Arial" w:cs="Arial"/>
        </w:rPr>
        <w:t xml:space="preserve"> in isolation</w:t>
      </w:r>
      <w:r w:rsidRPr="00C028B7">
        <w:rPr>
          <w:rFonts w:ascii="Arial" w:hAnsi="Arial" w:cs="Arial"/>
        </w:rPr>
        <w:t xml:space="preserve"> to prevent homelessness</w:t>
      </w:r>
      <w:r w:rsidRPr="00C028B7" w:rsidR="00E50821">
        <w:rPr>
          <w:rFonts w:ascii="Arial" w:hAnsi="Arial" w:cs="Arial"/>
        </w:rPr>
        <w:t xml:space="preserve"> and we would like to thank our Greater Norwich Homelessness Forum (GNHF) partners and wider partners for their input into t</w:t>
      </w:r>
      <w:r w:rsidRPr="00C028B7" w:rsidR="002F7EA5">
        <w:rPr>
          <w:rFonts w:ascii="Arial" w:hAnsi="Arial" w:cs="Arial"/>
        </w:rPr>
        <w:t>he development of this strategy and commitment to work with us to implement the actions agreed.</w:t>
      </w:r>
    </w:p>
    <w:p w:rsidRPr="00C028B7" w:rsidR="00D31773" w:rsidP="00007A21" w:rsidRDefault="00D31773" w14:paraId="51CCC339" w14:textId="77777777">
      <w:pPr>
        <w:rPr>
          <w:rFonts w:ascii="Arial" w:hAnsi="Arial" w:cs="Arial"/>
        </w:rPr>
      </w:pPr>
    </w:p>
    <w:p w:rsidRPr="00626EE8" w:rsidR="00D31773" w:rsidP="00007A21" w:rsidRDefault="00D31773" w14:paraId="376A406B" w14:textId="77777777">
      <w:pPr>
        <w:rPr>
          <w:rFonts w:ascii="Arial" w:hAnsi="Arial" w:cs="Arial"/>
        </w:rPr>
      </w:pPr>
      <w:r w:rsidRPr="00C028B7">
        <w:rPr>
          <w:rFonts w:ascii="Arial" w:hAnsi="Arial" w:cs="Arial"/>
        </w:rPr>
        <w:t>Partner Organisations who have</w:t>
      </w:r>
      <w:r w:rsidRPr="00626EE8">
        <w:rPr>
          <w:rFonts w:ascii="Arial" w:hAnsi="Arial" w:cs="Arial"/>
        </w:rPr>
        <w:t xml:space="preserve"> contributed to the development of this draft strategy are:</w:t>
      </w:r>
    </w:p>
    <w:tbl>
      <w:tblPr>
        <w:tblW w:w="8820" w:type="dxa"/>
        <w:tblLook w:val="04A0" w:firstRow="1" w:lastRow="0" w:firstColumn="1" w:lastColumn="0" w:noHBand="0" w:noVBand="1"/>
      </w:tblPr>
      <w:tblGrid>
        <w:gridCol w:w="8820"/>
      </w:tblGrid>
      <w:tr w:rsidRPr="00626EE8" w:rsidR="00CD1A9B" w:rsidTr="00CD1A9B" w14:paraId="6F888CB0"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02361321" w14:textId="77777777">
            <w:pPr>
              <w:rPr>
                <w:rFonts w:ascii="Arial" w:hAnsi="Arial" w:cs="Arial"/>
                <w:color w:val="000000"/>
                <w:sz w:val="22"/>
                <w:szCs w:val="22"/>
              </w:rPr>
            </w:pPr>
            <w:r w:rsidRPr="00626EE8">
              <w:rPr>
                <w:rFonts w:ascii="Arial" w:hAnsi="Arial" w:cs="Arial"/>
                <w:color w:val="000000"/>
                <w:sz w:val="22"/>
                <w:szCs w:val="22"/>
              </w:rPr>
              <w:t>Adult Social Care Commissioning - Norfolk County Council</w:t>
            </w:r>
          </w:p>
        </w:tc>
      </w:tr>
      <w:tr w:rsidRPr="00626EE8" w:rsidR="00CD1A9B" w:rsidTr="00CD1A9B" w14:paraId="225B05FC"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48A2284" w14:textId="77777777">
            <w:pPr>
              <w:rPr>
                <w:rFonts w:ascii="Arial" w:hAnsi="Arial" w:cs="Arial"/>
                <w:color w:val="000000"/>
                <w:sz w:val="22"/>
                <w:szCs w:val="22"/>
              </w:rPr>
            </w:pPr>
            <w:r w:rsidRPr="00626EE8">
              <w:rPr>
                <w:rFonts w:ascii="Arial" w:hAnsi="Arial" w:cs="Arial"/>
                <w:color w:val="000000"/>
                <w:sz w:val="22"/>
                <w:szCs w:val="22"/>
              </w:rPr>
              <w:t xml:space="preserve">Anchor Project </w:t>
            </w:r>
            <w:r w:rsidR="00A77B25">
              <w:rPr>
                <w:rFonts w:ascii="Arial" w:hAnsi="Arial" w:cs="Arial"/>
                <w:color w:val="000000"/>
                <w:sz w:val="22"/>
                <w:szCs w:val="22"/>
              </w:rPr>
              <w:t>–</w:t>
            </w:r>
            <w:r w:rsidRPr="00626EE8">
              <w:rPr>
                <w:rFonts w:ascii="Arial" w:hAnsi="Arial" w:cs="Arial"/>
                <w:color w:val="000000"/>
                <w:sz w:val="22"/>
                <w:szCs w:val="22"/>
              </w:rPr>
              <w:t xml:space="preserve"> Leeway</w:t>
            </w:r>
          </w:p>
        </w:tc>
      </w:tr>
      <w:tr w:rsidRPr="00626EE8" w:rsidR="00CD1A9B" w:rsidTr="00CD1A9B" w14:paraId="64065F64"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19015AD5" w14:textId="77777777">
            <w:pPr>
              <w:rPr>
                <w:rFonts w:ascii="Arial" w:hAnsi="Arial" w:cs="Arial"/>
                <w:color w:val="000000"/>
                <w:sz w:val="22"/>
                <w:szCs w:val="22"/>
              </w:rPr>
            </w:pPr>
            <w:r w:rsidRPr="00626EE8">
              <w:rPr>
                <w:rFonts w:ascii="Arial" w:hAnsi="Arial" w:cs="Arial"/>
                <w:color w:val="000000"/>
                <w:sz w:val="22"/>
                <w:szCs w:val="22"/>
              </w:rPr>
              <w:t>Anglia Care Trust</w:t>
            </w:r>
          </w:p>
        </w:tc>
      </w:tr>
      <w:tr w:rsidRPr="00626EE8" w:rsidR="00CD1A9B" w:rsidTr="00CD1A9B" w14:paraId="343CF69D"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3865A24" w14:textId="77777777">
            <w:pPr>
              <w:rPr>
                <w:rFonts w:ascii="Arial" w:hAnsi="Arial" w:cs="Arial"/>
                <w:color w:val="000000"/>
                <w:sz w:val="22"/>
                <w:szCs w:val="22"/>
              </w:rPr>
            </w:pPr>
            <w:r w:rsidRPr="00626EE8">
              <w:rPr>
                <w:rFonts w:ascii="Arial" w:hAnsi="Arial" w:cs="Arial"/>
                <w:color w:val="000000"/>
                <w:sz w:val="22"/>
                <w:szCs w:val="22"/>
              </w:rPr>
              <w:t>Aylsham Care Trust (ACT)</w:t>
            </w:r>
          </w:p>
        </w:tc>
      </w:tr>
      <w:tr w:rsidRPr="00626EE8" w:rsidR="00CD1A9B" w:rsidTr="00CD1A9B" w14:paraId="6AC7A413"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21CDAF37" w14:textId="77777777">
            <w:pPr>
              <w:rPr>
                <w:rFonts w:ascii="Arial" w:hAnsi="Arial" w:cs="Arial"/>
                <w:color w:val="000000"/>
                <w:sz w:val="22"/>
                <w:szCs w:val="22"/>
              </w:rPr>
            </w:pPr>
            <w:r w:rsidRPr="00626EE8">
              <w:rPr>
                <w:rFonts w:ascii="Arial" w:hAnsi="Arial" w:cs="Arial"/>
                <w:color w:val="000000"/>
                <w:sz w:val="22"/>
                <w:szCs w:val="22"/>
              </w:rPr>
              <w:t>Breckland District Council</w:t>
            </w:r>
          </w:p>
        </w:tc>
      </w:tr>
      <w:tr w:rsidRPr="00626EE8" w:rsidR="00CD1A9B" w:rsidTr="00CD1A9B" w14:paraId="5DA37B98"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07EE579B" w14:textId="77777777">
            <w:pPr>
              <w:rPr>
                <w:rFonts w:ascii="Arial" w:hAnsi="Arial" w:cs="Arial"/>
                <w:color w:val="000000"/>
                <w:sz w:val="22"/>
                <w:szCs w:val="22"/>
              </w:rPr>
            </w:pPr>
            <w:r w:rsidRPr="00626EE8">
              <w:rPr>
                <w:rFonts w:ascii="Arial" w:hAnsi="Arial" w:cs="Arial"/>
                <w:color w:val="000000"/>
                <w:sz w:val="22"/>
                <w:szCs w:val="22"/>
              </w:rPr>
              <w:t>Change, Grow, Live (CGL)</w:t>
            </w:r>
          </w:p>
        </w:tc>
      </w:tr>
      <w:tr w:rsidRPr="00626EE8" w:rsidR="00CD1A9B" w:rsidTr="00CD1A9B" w14:paraId="41C58AEF"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3C96F73" w14:textId="77777777">
            <w:pPr>
              <w:rPr>
                <w:rFonts w:ascii="Arial" w:hAnsi="Arial" w:cs="Arial"/>
                <w:color w:val="000000"/>
                <w:sz w:val="22"/>
                <w:szCs w:val="22"/>
              </w:rPr>
            </w:pPr>
            <w:r w:rsidRPr="00626EE8">
              <w:rPr>
                <w:rFonts w:ascii="Arial" w:hAnsi="Arial" w:cs="Arial"/>
                <w:color w:val="000000"/>
                <w:sz w:val="22"/>
                <w:szCs w:val="22"/>
              </w:rPr>
              <w:t>Children’s Services Leaving Care Team</w:t>
            </w:r>
          </w:p>
        </w:tc>
      </w:tr>
      <w:tr w:rsidRPr="00626EE8" w:rsidR="00CD1A9B" w:rsidTr="00CD1A9B" w14:paraId="25EBC8DB"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526FCBD7" w14:textId="77777777">
            <w:pPr>
              <w:rPr>
                <w:rFonts w:ascii="Arial" w:hAnsi="Arial" w:cs="Arial"/>
                <w:color w:val="000000"/>
                <w:sz w:val="22"/>
                <w:szCs w:val="22"/>
              </w:rPr>
            </w:pPr>
            <w:r w:rsidRPr="00626EE8">
              <w:rPr>
                <w:rFonts w:ascii="Arial" w:hAnsi="Arial" w:cs="Arial"/>
                <w:color w:val="000000"/>
                <w:sz w:val="22"/>
                <w:szCs w:val="22"/>
              </w:rPr>
              <w:t>Clarion Housing</w:t>
            </w:r>
          </w:p>
        </w:tc>
      </w:tr>
      <w:tr w:rsidRPr="00626EE8" w:rsidR="00CD1A9B" w:rsidTr="00CD1A9B" w14:paraId="4E1798B1"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185338D" w14:textId="77777777">
            <w:pPr>
              <w:rPr>
                <w:rFonts w:ascii="Arial" w:hAnsi="Arial" w:cs="Arial"/>
                <w:color w:val="000000"/>
                <w:sz w:val="22"/>
                <w:szCs w:val="22"/>
              </w:rPr>
            </w:pPr>
            <w:r w:rsidRPr="00626EE8">
              <w:rPr>
                <w:rFonts w:ascii="Arial" w:hAnsi="Arial" w:cs="Arial"/>
                <w:color w:val="000000"/>
                <w:sz w:val="22"/>
                <w:szCs w:val="22"/>
              </w:rPr>
              <w:t>Community Chaplaincy Norfolk</w:t>
            </w:r>
          </w:p>
        </w:tc>
      </w:tr>
      <w:tr w:rsidRPr="00626EE8" w:rsidR="00CD1A9B" w:rsidTr="00CD1A9B" w14:paraId="7250666A"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7A498A6D" w14:textId="77777777">
            <w:pPr>
              <w:rPr>
                <w:rFonts w:ascii="Arial" w:hAnsi="Arial" w:cs="Arial"/>
                <w:color w:val="000000"/>
                <w:sz w:val="22"/>
                <w:szCs w:val="22"/>
              </w:rPr>
            </w:pPr>
            <w:r w:rsidRPr="00626EE8">
              <w:rPr>
                <w:rFonts w:ascii="Arial" w:hAnsi="Arial" w:cs="Arial"/>
                <w:color w:val="000000"/>
                <w:sz w:val="22"/>
                <w:szCs w:val="22"/>
              </w:rPr>
              <w:t>DWP</w:t>
            </w:r>
          </w:p>
        </w:tc>
      </w:tr>
      <w:tr w:rsidRPr="00626EE8" w:rsidR="00CD1A9B" w:rsidTr="00CD1A9B" w14:paraId="729ADF24" w14:textId="77777777">
        <w:trPr>
          <w:trHeight w:val="288"/>
        </w:trPr>
        <w:tc>
          <w:tcPr>
            <w:tcW w:w="8820" w:type="dxa"/>
            <w:tcBorders>
              <w:top w:val="nil"/>
              <w:left w:val="nil"/>
              <w:bottom w:val="nil"/>
              <w:right w:val="nil"/>
            </w:tcBorders>
            <w:shd w:val="clear" w:color="auto" w:fill="auto"/>
            <w:vAlign w:val="bottom"/>
            <w:hideMark/>
          </w:tcPr>
          <w:p w:rsidRPr="00626EE8" w:rsidR="00CD1A9B" w:rsidRDefault="00CD1A9B" w14:paraId="1175E33A" w14:textId="77777777">
            <w:pPr>
              <w:rPr>
                <w:rFonts w:ascii="Arial" w:hAnsi="Arial" w:cs="Arial"/>
                <w:color w:val="000000"/>
                <w:sz w:val="22"/>
                <w:szCs w:val="22"/>
              </w:rPr>
            </w:pPr>
            <w:r w:rsidRPr="00626EE8">
              <w:rPr>
                <w:rFonts w:ascii="Arial" w:hAnsi="Arial" w:cs="Arial"/>
                <w:color w:val="000000"/>
                <w:sz w:val="22"/>
                <w:szCs w:val="22"/>
              </w:rPr>
              <w:t>Integrated Offender Management - Norfolk Constabulary</w:t>
            </w:r>
          </w:p>
        </w:tc>
      </w:tr>
      <w:tr w:rsidRPr="00626EE8" w:rsidR="00CD1A9B" w:rsidTr="00CD1A9B" w14:paraId="5C2924B2"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3A6F5553" w14:textId="77777777">
            <w:pPr>
              <w:rPr>
                <w:rFonts w:ascii="Arial" w:hAnsi="Arial" w:cs="Arial"/>
                <w:color w:val="000000"/>
                <w:sz w:val="22"/>
                <w:szCs w:val="22"/>
              </w:rPr>
            </w:pPr>
            <w:r w:rsidRPr="00626EE8">
              <w:rPr>
                <w:rFonts w:ascii="Arial" w:hAnsi="Arial" w:cs="Arial"/>
                <w:color w:val="000000"/>
                <w:sz w:val="22"/>
                <w:szCs w:val="22"/>
              </w:rPr>
              <w:t>Making Every Adult Matter (MEAM)</w:t>
            </w:r>
          </w:p>
        </w:tc>
      </w:tr>
      <w:tr w:rsidRPr="00626EE8" w:rsidR="00CD1A9B" w:rsidTr="00CD1A9B" w14:paraId="714C157C"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3171AECF" w14:textId="77777777">
            <w:pPr>
              <w:rPr>
                <w:rFonts w:ascii="Arial" w:hAnsi="Arial" w:cs="Arial"/>
                <w:color w:val="000000"/>
                <w:sz w:val="22"/>
                <w:szCs w:val="22"/>
              </w:rPr>
            </w:pPr>
            <w:r w:rsidRPr="00626EE8">
              <w:rPr>
                <w:rFonts w:ascii="Arial" w:hAnsi="Arial" w:cs="Arial"/>
                <w:color w:val="000000"/>
                <w:sz w:val="22"/>
                <w:szCs w:val="22"/>
              </w:rPr>
              <w:t>Mancroft Advice Project</w:t>
            </w:r>
          </w:p>
        </w:tc>
      </w:tr>
      <w:tr w:rsidRPr="00626EE8" w:rsidR="00CD1A9B" w:rsidTr="00CD1A9B" w14:paraId="7035EF11"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0EE13188" w14:textId="77777777">
            <w:pPr>
              <w:rPr>
                <w:rFonts w:ascii="Arial" w:hAnsi="Arial" w:cs="Arial"/>
                <w:color w:val="000000"/>
                <w:sz w:val="22"/>
                <w:szCs w:val="22"/>
              </w:rPr>
            </w:pPr>
            <w:r w:rsidRPr="00626EE8">
              <w:rPr>
                <w:rFonts w:ascii="Arial" w:hAnsi="Arial" w:cs="Arial"/>
                <w:color w:val="000000"/>
                <w:sz w:val="22"/>
                <w:szCs w:val="22"/>
              </w:rPr>
              <w:t>National Probation Service</w:t>
            </w:r>
          </w:p>
        </w:tc>
      </w:tr>
      <w:tr w:rsidRPr="00626EE8" w:rsidR="00CD1A9B" w:rsidTr="00CD1A9B" w14:paraId="79ED8E39"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0215603" w14:textId="77777777">
            <w:pPr>
              <w:rPr>
                <w:rFonts w:ascii="Arial" w:hAnsi="Arial" w:cs="Arial"/>
                <w:color w:val="000000"/>
                <w:sz w:val="22"/>
                <w:szCs w:val="22"/>
              </w:rPr>
            </w:pPr>
            <w:r w:rsidRPr="00626EE8">
              <w:rPr>
                <w:rFonts w:ascii="Arial" w:hAnsi="Arial" w:cs="Arial"/>
                <w:color w:val="000000"/>
                <w:sz w:val="22"/>
                <w:szCs w:val="22"/>
              </w:rPr>
              <w:t>Norfolk and Suffolk Community Rehabilitation Company (NSCRC)</w:t>
            </w:r>
          </w:p>
        </w:tc>
      </w:tr>
      <w:tr w:rsidRPr="00626EE8" w:rsidR="00CD1A9B" w:rsidTr="00CD1A9B" w14:paraId="32948B15"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29761872" w14:textId="77777777">
            <w:pPr>
              <w:rPr>
                <w:rFonts w:ascii="Arial" w:hAnsi="Arial" w:cs="Arial"/>
                <w:color w:val="000000"/>
                <w:sz w:val="22"/>
                <w:szCs w:val="22"/>
              </w:rPr>
            </w:pPr>
            <w:r w:rsidRPr="00626EE8">
              <w:rPr>
                <w:rFonts w:ascii="Arial" w:hAnsi="Arial" w:cs="Arial"/>
                <w:color w:val="000000"/>
                <w:sz w:val="22"/>
                <w:szCs w:val="22"/>
              </w:rPr>
              <w:t>Norfolk and Suffolk Foundation Trust (NSFT)</w:t>
            </w:r>
          </w:p>
        </w:tc>
      </w:tr>
      <w:tr w:rsidRPr="00626EE8" w:rsidR="00CD1A9B" w:rsidTr="00CD1A9B" w14:paraId="631A5505" w14:textId="77777777">
        <w:trPr>
          <w:trHeight w:val="288"/>
        </w:trPr>
        <w:tc>
          <w:tcPr>
            <w:tcW w:w="8820" w:type="dxa"/>
            <w:tcBorders>
              <w:top w:val="nil"/>
              <w:left w:val="nil"/>
              <w:bottom w:val="nil"/>
              <w:right w:val="nil"/>
            </w:tcBorders>
            <w:shd w:val="clear" w:color="auto" w:fill="auto"/>
            <w:vAlign w:val="bottom"/>
            <w:hideMark/>
          </w:tcPr>
          <w:p w:rsidRPr="00626EE8" w:rsidR="00CD1A9B" w:rsidRDefault="00CD1A9B" w14:paraId="07A86AEA" w14:textId="77777777">
            <w:pPr>
              <w:rPr>
                <w:rFonts w:ascii="Arial" w:hAnsi="Arial" w:cs="Arial"/>
                <w:color w:val="000000"/>
                <w:sz w:val="22"/>
                <w:szCs w:val="22"/>
              </w:rPr>
            </w:pPr>
            <w:r w:rsidRPr="00626EE8">
              <w:rPr>
                <w:rFonts w:ascii="Arial" w:hAnsi="Arial" w:cs="Arial"/>
                <w:color w:val="000000"/>
                <w:sz w:val="22"/>
                <w:szCs w:val="22"/>
              </w:rPr>
              <w:t>Norfolk Community Law Service (NCLS)</w:t>
            </w:r>
          </w:p>
        </w:tc>
      </w:tr>
      <w:tr w:rsidRPr="00626EE8" w:rsidR="00CD1A9B" w:rsidTr="00CD1A9B" w14:paraId="1F5FAF06"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043C7BA2" w14:textId="77777777">
            <w:pPr>
              <w:rPr>
                <w:rFonts w:ascii="Arial" w:hAnsi="Arial" w:cs="Arial"/>
                <w:color w:val="000000"/>
                <w:sz w:val="22"/>
                <w:szCs w:val="22"/>
              </w:rPr>
            </w:pPr>
            <w:r w:rsidRPr="00626EE8">
              <w:rPr>
                <w:rFonts w:ascii="Arial" w:hAnsi="Arial" w:cs="Arial"/>
                <w:color w:val="000000"/>
                <w:sz w:val="22"/>
                <w:szCs w:val="22"/>
              </w:rPr>
              <w:t>Notting Hill Genesis</w:t>
            </w:r>
          </w:p>
        </w:tc>
      </w:tr>
      <w:tr w:rsidRPr="00626EE8" w:rsidR="00CD1A9B" w:rsidTr="00CD1A9B" w14:paraId="4E86F384"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34CA435C" w14:textId="77777777">
            <w:pPr>
              <w:rPr>
                <w:rFonts w:ascii="Arial" w:hAnsi="Arial" w:cs="Arial"/>
                <w:color w:val="000000"/>
                <w:sz w:val="22"/>
                <w:szCs w:val="22"/>
              </w:rPr>
            </w:pPr>
            <w:r w:rsidRPr="00626EE8">
              <w:rPr>
                <w:rFonts w:ascii="Arial" w:hAnsi="Arial" w:cs="Arial"/>
                <w:color w:val="000000"/>
                <w:sz w:val="22"/>
                <w:szCs w:val="22"/>
              </w:rPr>
              <w:t>Orwell Housing Association Ltd</w:t>
            </w:r>
          </w:p>
        </w:tc>
      </w:tr>
      <w:tr w:rsidRPr="00626EE8" w:rsidR="00CD1A9B" w:rsidTr="00CD1A9B" w14:paraId="66CE4851"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DB7FB7" w14:paraId="2A38F9A7" w14:textId="77777777">
            <w:pPr>
              <w:rPr>
                <w:rFonts w:ascii="Arial" w:hAnsi="Arial" w:cs="Arial"/>
                <w:color w:val="000000"/>
                <w:sz w:val="22"/>
                <w:szCs w:val="22"/>
              </w:rPr>
            </w:pPr>
            <w:r>
              <w:rPr>
                <w:rFonts w:ascii="Arial" w:hAnsi="Arial" w:cs="Arial"/>
                <w:color w:val="000000"/>
                <w:sz w:val="22"/>
                <w:szCs w:val="22"/>
              </w:rPr>
              <w:t>Saffron Housing Trust</w:t>
            </w:r>
          </w:p>
        </w:tc>
      </w:tr>
      <w:tr w:rsidRPr="00626EE8" w:rsidR="00DB7FB7" w:rsidTr="00CD1A9B" w14:paraId="688BDD2F" w14:textId="77777777">
        <w:trPr>
          <w:trHeight w:val="288"/>
        </w:trPr>
        <w:tc>
          <w:tcPr>
            <w:tcW w:w="8820" w:type="dxa"/>
            <w:tcBorders>
              <w:top w:val="nil"/>
              <w:left w:val="nil"/>
              <w:bottom w:val="nil"/>
              <w:right w:val="nil"/>
            </w:tcBorders>
            <w:shd w:val="clear" w:color="auto" w:fill="auto"/>
            <w:vAlign w:val="center"/>
          </w:tcPr>
          <w:p w:rsidRPr="00626EE8" w:rsidR="00DB7FB7" w:rsidRDefault="00DB7FB7" w14:paraId="12B944AA" w14:textId="77777777">
            <w:pPr>
              <w:rPr>
                <w:rFonts w:ascii="Arial" w:hAnsi="Arial" w:cs="Arial"/>
                <w:color w:val="000000"/>
                <w:sz w:val="22"/>
                <w:szCs w:val="22"/>
              </w:rPr>
            </w:pPr>
            <w:r>
              <w:rPr>
                <w:rFonts w:ascii="Arial" w:hAnsi="Arial" w:cs="Arial"/>
                <w:color w:val="000000"/>
                <w:sz w:val="22"/>
                <w:szCs w:val="22"/>
              </w:rPr>
              <w:t>Shelter</w:t>
            </w:r>
          </w:p>
        </w:tc>
      </w:tr>
      <w:tr w:rsidRPr="00626EE8" w:rsidR="00CD1A9B" w:rsidTr="00CD1A9B" w14:paraId="25DB5AE4"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58B15373" w14:textId="77777777">
            <w:pPr>
              <w:rPr>
                <w:rFonts w:ascii="Arial" w:hAnsi="Arial" w:cs="Arial"/>
                <w:color w:val="000000"/>
                <w:sz w:val="22"/>
                <w:szCs w:val="22"/>
              </w:rPr>
            </w:pPr>
            <w:r w:rsidRPr="00626EE8">
              <w:rPr>
                <w:rFonts w:ascii="Arial" w:hAnsi="Arial" w:cs="Arial"/>
                <w:color w:val="000000"/>
                <w:sz w:val="22"/>
                <w:szCs w:val="22"/>
              </w:rPr>
              <w:t>Solo Housing</w:t>
            </w:r>
          </w:p>
        </w:tc>
      </w:tr>
      <w:tr w:rsidRPr="00626EE8" w:rsidR="00CD1A9B" w:rsidTr="00CD1A9B" w14:paraId="41B8E6C2"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B3A96D2" w14:textId="77777777">
            <w:pPr>
              <w:rPr>
                <w:rFonts w:ascii="Arial" w:hAnsi="Arial" w:cs="Arial"/>
                <w:color w:val="000000"/>
                <w:sz w:val="22"/>
                <w:szCs w:val="22"/>
              </w:rPr>
            </w:pPr>
            <w:r w:rsidRPr="00626EE8">
              <w:rPr>
                <w:rFonts w:ascii="Arial" w:hAnsi="Arial" w:cs="Arial"/>
                <w:color w:val="000000"/>
                <w:sz w:val="22"/>
                <w:szCs w:val="22"/>
              </w:rPr>
              <w:t>Soul Foundation</w:t>
            </w:r>
          </w:p>
        </w:tc>
      </w:tr>
      <w:tr w:rsidRPr="00626EE8" w:rsidR="00CD1A9B" w:rsidTr="00CD1A9B" w14:paraId="664B1EA2"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D796CAD" w14:textId="77777777">
            <w:pPr>
              <w:rPr>
                <w:rFonts w:ascii="Arial" w:hAnsi="Arial" w:cs="Arial"/>
                <w:color w:val="000000"/>
                <w:sz w:val="22"/>
                <w:szCs w:val="22"/>
              </w:rPr>
            </w:pPr>
            <w:r w:rsidRPr="00626EE8">
              <w:rPr>
                <w:rFonts w:ascii="Arial" w:hAnsi="Arial" w:cs="Arial"/>
                <w:color w:val="000000"/>
                <w:sz w:val="22"/>
                <w:szCs w:val="22"/>
              </w:rPr>
              <w:t>St Giles Trust</w:t>
            </w:r>
          </w:p>
        </w:tc>
      </w:tr>
      <w:tr w:rsidRPr="00626EE8" w:rsidR="00CD1A9B" w:rsidTr="00CD1A9B" w14:paraId="259DE248"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6AE31B5E" w14:textId="77777777">
            <w:pPr>
              <w:rPr>
                <w:rFonts w:ascii="Arial" w:hAnsi="Arial" w:cs="Arial"/>
                <w:color w:val="000000"/>
                <w:sz w:val="22"/>
                <w:szCs w:val="22"/>
              </w:rPr>
            </w:pPr>
            <w:r w:rsidRPr="00626EE8">
              <w:rPr>
                <w:rFonts w:ascii="Arial" w:hAnsi="Arial" w:cs="Arial"/>
                <w:color w:val="000000"/>
                <w:sz w:val="22"/>
                <w:szCs w:val="22"/>
              </w:rPr>
              <w:t>St Martins Housing</w:t>
            </w:r>
          </w:p>
        </w:tc>
      </w:tr>
      <w:tr w:rsidRPr="00626EE8" w:rsidR="00CD1A9B" w:rsidTr="00CD1A9B" w14:paraId="2805DCC4"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34FEA4D2" w14:textId="77777777">
            <w:pPr>
              <w:rPr>
                <w:rFonts w:ascii="Arial" w:hAnsi="Arial" w:cs="Arial"/>
                <w:color w:val="000000"/>
                <w:sz w:val="22"/>
                <w:szCs w:val="22"/>
              </w:rPr>
            </w:pPr>
            <w:r w:rsidRPr="00626EE8">
              <w:rPr>
                <w:rFonts w:ascii="Arial" w:hAnsi="Arial" w:cs="Arial"/>
                <w:color w:val="000000"/>
                <w:sz w:val="22"/>
                <w:szCs w:val="22"/>
              </w:rPr>
              <w:t>Stronger Futures Leaving Care Team - Norfolk County Council</w:t>
            </w:r>
          </w:p>
        </w:tc>
      </w:tr>
      <w:tr w:rsidRPr="00626EE8" w:rsidR="00CD1A9B" w:rsidTr="00CD1A9B" w14:paraId="1C99E574" w14:textId="77777777">
        <w:trPr>
          <w:trHeight w:val="288"/>
        </w:trPr>
        <w:tc>
          <w:tcPr>
            <w:tcW w:w="8820" w:type="dxa"/>
            <w:tcBorders>
              <w:top w:val="nil"/>
              <w:left w:val="nil"/>
              <w:bottom w:val="nil"/>
              <w:right w:val="nil"/>
            </w:tcBorders>
            <w:shd w:val="clear" w:color="auto" w:fill="auto"/>
            <w:vAlign w:val="bottom"/>
            <w:hideMark/>
          </w:tcPr>
          <w:p w:rsidRPr="00626EE8" w:rsidR="00CD1A9B" w:rsidRDefault="00CD1A9B" w14:paraId="03F301D4" w14:textId="77777777">
            <w:pPr>
              <w:rPr>
                <w:rFonts w:ascii="Arial" w:hAnsi="Arial" w:cs="Arial"/>
                <w:color w:val="000000"/>
                <w:sz w:val="22"/>
                <w:szCs w:val="22"/>
              </w:rPr>
            </w:pPr>
            <w:r w:rsidRPr="00626EE8">
              <w:rPr>
                <w:rFonts w:ascii="Arial" w:hAnsi="Arial" w:cs="Arial"/>
                <w:color w:val="000000"/>
                <w:sz w:val="22"/>
                <w:szCs w:val="22"/>
              </w:rPr>
              <w:t>The Benjamin Foundation</w:t>
            </w:r>
          </w:p>
        </w:tc>
      </w:tr>
      <w:tr w:rsidRPr="00626EE8" w:rsidR="00CD1A9B" w:rsidTr="00CD1A9B" w14:paraId="5CD34D83"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570458E6" w14:textId="77777777">
            <w:pPr>
              <w:rPr>
                <w:rFonts w:ascii="Arial" w:hAnsi="Arial" w:cs="Arial"/>
                <w:color w:val="000000"/>
                <w:sz w:val="22"/>
                <w:szCs w:val="22"/>
              </w:rPr>
            </w:pPr>
            <w:r w:rsidRPr="00626EE8">
              <w:rPr>
                <w:rFonts w:ascii="Arial" w:hAnsi="Arial" w:cs="Arial"/>
                <w:color w:val="000000"/>
                <w:sz w:val="22"/>
                <w:szCs w:val="22"/>
              </w:rPr>
              <w:t>The Feed</w:t>
            </w:r>
          </w:p>
        </w:tc>
      </w:tr>
      <w:tr w:rsidRPr="00626EE8" w:rsidR="00CD1A9B" w:rsidTr="00CD1A9B" w14:paraId="21647E2A"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31519240" w14:textId="77777777">
            <w:pPr>
              <w:rPr>
                <w:rFonts w:ascii="Arial" w:hAnsi="Arial" w:cs="Arial"/>
                <w:color w:val="000000"/>
                <w:sz w:val="22"/>
                <w:szCs w:val="22"/>
              </w:rPr>
            </w:pPr>
            <w:r w:rsidRPr="00626EE8">
              <w:rPr>
                <w:rFonts w:ascii="Arial" w:hAnsi="Arial" w:cs="Arial"/>
                <w:color w:val="000000"/>
                <w:sz w:val="22"/>
                <w:szCs w:val="22"/>
              </w:rPr>
              <w:t>The Magdalene Group</w:t>
            </w:r>
          </w:p>
        </w:tc>
      </w:tr>
      <w:tr w:rsidRPr="00626EE8" w:rsidR="00CD1A9B" w:rsidTr="00CD1A9B" w14:paraId="2F092273" w14:textId="77777777">
        <w:trPr>
          <w:trHeight w:val="288"/>
        </w:trPr>
        <w:tc>
          <w:tcPr>
            <w:tcW w:w="8820" w:type="dxa"/>
            <w:tcBorders>
              <w:top w:val="nil"/>
              <w:left w:val="nil"/>
              <w:bottom w:val="nil"/>
              <w:right w:val="nil"/>
            </w:tcBorders>
            <w:shd w:val="clear" w:color="auto" w:fill="auto"/>
            <w:vAlign w:val="center"/>
            <w:hideMark/>
          </w:tcPr>
          <w:p w:rsidRPr="00626EE8" w:rsidR="00CD1A9B" w:rsidRDefault="00CD1A9B" w14:paraId="2748CDBA" w14:textId="77777777">
            <w:pPr>
              <w:rPr>
                <w:rFonts w:ascii="Arial" w:hAnsi="Arial" w:cs="Arial"/>
                <w:color w:val="000000"/>
                <w:sz w:val="22"/>
                <w:szCs w:val="22"/>
              </w:rPr>
            </w:pPr>
            <w:r w:rsidRPr="00626EE8">
              <w:rPr>
                <w:rFonts w:ascii="Arial" w:hAnsi="Arial" w:cs="Arial"/>
                <w:color w:val="000000"/>
                <w:sz w:val="22"/>
                <w:szCs w:val="22"/>
              </w:rPr>
              <w:t>YMCA</w:t>
            </w:r>
          </w:p>
        </w:tc>
      </w:tr>
      <w:tr w:rsidRPr="00626EE8" w:rsidR="00CD1A9B" w:rsidTr="00CD1A9B" w14:paraId="77058B9A" w14:textId="77777777">
        <w:trPr>
          <w:trHeight w:val="288"/>
        </w:trPr>
        <w:tc>
          <w:tcPr>
            <w:tcW w:w="8820" w:type="dxa"/>
            <w:tcBorders>
              <w:top w:val="nil"/>
              <w:left w:val="nil"/>
              <w:bottom w:val="nil"/>
              <w:right w:val="nil"/>
            </w:tcBorders>
            <w:shd w:val="clear" w:color="auto" w:fill="auto"/>
            <w:vAlign w:val="bottom"/>
            <w:hideMark/>
          </w:tcPr>
          <w:p w:rsidRPr="00626EE8" w:rsidR="00CD1A9B" w:rsidRDefault="00CD1A9B" w14:paraId="0C7B735E" w14:textId="77777777">
            <w:pPr>
              <w:rPr>
                <w:rFonts w:ascii="Arial" w:hAnsi="Arial" w:cs="Arial"/>
                <w:color w:val="000000"/>
                <w:sz w:val="22"/>
                <w:szCs w:val="22"/>
              </w:rPr>
            </w:pPr>
            <w:r w:rsidRPr="00626EE8">
              <w:rPr>
                <w:rFonts w:ascii="Arial" w:hAnsi="Arial" w:cs="Arial"/>
                <w:color w:val="000000"/>
                <w:sz w:val="22"/>
                <w:szCs w:val="22"/>
              </w:rPr>
              <w:t>Your Own Place CIC</w:t>
            </w:r>
          </w:p>
        </w:tc>
      </w:tr>
      <w:tr w:rsidR="00CD1A9B" w:rsidTr="00CD1A9B" w14:paraId="0FEB83E7" w14:textId="77777777">
        <w:trPr>
          <w:trHeight w:val="288"/>
        </w:trPr>
        <w:tc>
          <w:tcPr>
            <w:tcW w:w="8820" w:type="dxa"/>
            <w:tcBorders>
              <w:top w:val="nil"/>
              <w:left w:val="nil"/>
              <w:bottom w:val="nil"/>
              <w:right w:val="nil"/>
            </w:tcBorders>
            <w:shd w:val="clear" w:color="auto" w:fill="auto"/>
            <w:vAlign w:val="center"/>
            <w:hideMark/>
          </w:tcPr>
          <w:p w:rsidR="00CD1A9B" w:rsidRDefault="00CD1A9B" w14:paraId="2AC98477" w14:textId="77777777">
            <w:pPr>
              <w:rPr>
                <w:rFonts w:ascii="Arial" w:hAnsi="Arial" w:cs="Arial"/>
                <w:color w:val="000000"/>
                <w:sz w:val="22"/>
                <w:szCs w:val="22"/>
              </w:rPr>
            </w:pPr>
            <w:r w:rsidRPr="00626EE8">
              <w:rPr>
                <w:rFonts w:ascii="Arial" w:hAnsi="Arial" w:cs="Arial"/>
                <w:color w:val="000000"/>
                <w:sz w:val="22"/>
                <w:szCs w:val="22"/>
              </w:rPr>
              <w:t>Youth Offending Team (YOT)</w:t>
            </w:r>
          </w:p>
        </w:tc>
      </w:tr>
    </w:tbl>
    <w:p w:rsidR="00D31773" w:rsidP="00007A21" w:rsidRDefault="00D31773" w14:paraId="592FF102" w14:textId="77777777">
      <w:pPr>
        <w:rPr>
          <w:rFonts w:ascii="Arial" w:hAnsi="Arial" w:cs="Arial"/>
          <w:highlight w:val="yellow"/>
        </w:rPr>
      </w:pPr>
    </w:p>
    <w:p w:rsidRPr="00754E04" w:rsidR="00754E04" w:rsidP="00754E04" w:rsidRDefault="00493DD6" w14:paraId="1F3DCD7E" w14:textId="77777777">
      <w:pPr>
        <w:rPr>
          <w:rFonts w:ascii="Arial" w:hAnsi="Arial" w:cs="Arial"/>
        </w:rPr>
      </w:pPr>
      <w:r w:rsidRPr="00754E04">
        <w:rPr>
          <w:rFonts w:ascii="Arial" w:hAnsi="Arial" w:cs="Arial"/>
        </w:rPr>
        <w:t xml:space="preserve">Contained within this strategy is an outline </w:t>
      </w:r>
      <w:r w:rsidRPr="00754E04" w:rsidR="00517802">
        <w:rPr>
          <w:rFonts w:ascii="Arial" w:hAnsi="Arial" w:cs="Arial"/>
        </w:rPr>
        <w:t xml:space="preserve">of key legislation implemented </w:t>
      </w:r>
      <w:r w:rsidRPr="00754E04">
        <w:rPr>
          <w:rFonts w:ascii="Arial" w:hAnsi="Arial" w:cs="Arial"/>
        </w:rPr>
        <w:t>during the period of the previous strategy, an overview of</w:t>
      </w:r>
      <w:r w:rsidRPr="00754E04" w:rsidR="00517802">
        <w:rPr>
          <w:rFonts w:ascii="Arial" w:hAnsi="Arial" w:cs="Arial"/>
        </w:rPr>
        <w:t xml:space="preserve"> the local</w:t>
      </w:r>
      <w:r w:rsidR="004345D7">
        <w:rPr>
          <w:rFonts w:ascii="Arial" w:hAnsi="Arial" w:cs="Arial"/>
        </w:rPr>
        <w:t xml:space="preserve"> and national picture. The</w:t>
      </w:r>
      <w:r w:rsidRPr="00754E04" w:rsidR="00517802">
        <w:rPr>
          <w:rFonts w:ascii="Arial" w:hAnsi="Arial" w:cs="Arial"/>
        </w:rPr>
        <w:t xml:space="preserve"> strategy also lists our four priority areas, proposed actions and the ev</w:t>
      </w:r>
      <w:r w:rsidR="008913D2">
        <w:rPr>
          <w:rFonts w:ascii="Arial" w:hAnsi="Arial" w:cs="Arial"/>
        </w:rPr>
        <w:t>idence and rationale behind them</w:t>
      </w:r>
      <w:r w:rsidRPr="00754E04" w:rsidR="00517802">
        <w:rPr>
          <w:rFonts w:ascii="Arial" w:hAnsi="Arial" w:cs="Arial"/>
        </w:rPr>
        <w:t>.</w:t>
      </w:r>
    </w:p>
    <w:p w:rsidRPr="00754E04" w:rsidR="00754E04" w:rsidP="00493DD6" w:rsidRDefault="00754E04" w14:paraId="2101269A" w14:textId="77777777">
      <w:pPr>
        <w:rPr>
          <w:rFonts w:ascii="Arial" w:hAnsi="Arial" w:cs="Arial"/>
        </w:rPr>
      </w:pPr>
    </w:p>
    <w:p w:rsidRPr="00754E04" w:rsidR="00754E04" w:rsidP="00754E04" w:rsidRDefault="00754E04" w14:paraId="4432B4E4" w14:textId="77777777">
      <w:pPr>
        <w:rPr>
          <w:rFonts w:ascii="Arial" w:hAnsi="Arial" w:cs="Arial"/>
        </w:rPr>
      </w:pPr>
      <w:r w:rsidRPr="00754E04">
        <w:rPr>
          <w:rFonts w:ascii="Arial" w:hAnsi="Arial" w:cs="Arial"/>
        </w:rPr>
        <w:t>The consul</w:t>
      </w:r>
      <w:r w:rsidR="004345D7">
        <w:rPr>
          <w:rFonts w:ascii="Arial" w:hAnsi="Arial" w:cs="Arial"/>
        </w:rPr>
        <w:t>tation period ra</w:t>
      </w:r>
      <w:r w:rsidR="00E2642B">
        <w:rPr>
          <w:rFonts w:ascii="Arial" w:hAnsi="Arial" w:cs="Arial"/>
        </w:rPr>
        <w:t>n from</w:t>
      </w:r>
      <w:r w:rsidR="008913D2">
        <w:rPr>
          <w:rFonts w:ascii="Arial" w:hAnsi="Arial" w:cs="Arial"/>
        </w:rPr>
        <w:t xml:space="preserve"> 12pm Friday 6</w:t>
      </w:r>
      <w:r w:rsidRPr="008913D2" w:rsidR="008913D2">
        <w:rPr>
          <w:rFonts w:ascii="Arial" w:hAnsi="Arial" w:cs="Arial"/>
          <w:vertAlign w:val="superscript"/>
        </w:rPr>
        <w:t>th</w:t>
      </w:r>
      <w:r w:rsidR="008913D2">
        <w:rPr>
          <w:rFonts w:ascii="Arial" w:hAnsi="Arial" w:cs="Arial"/>
        </w:rPr>
        <w:t xml:space="preserve"> March</w:t>
      </w:r>
      <w:r w:rsidRPr="00754E04">
        <w:rPr>
          <w:rFonts w:ascii="Arial" w:hAnsi="Arial" w:cs="Arial"/>
        </w:rPr>
        <w:t xml:space="preserve"> 2020 until 11:59pm</w:t>
      </w:r>
      <w:r w:rsidR="00A77B25">
        <w:rPr>
          <w:rFonts w:ascii="Arial" w:hAnsi="Arial" w:cs="Arial"/>
        </w:rPr>
        <w:t xml:space="preserve"> </w:t>
      </w:r>
      <w:r w:rsidR="00BB4E29">
        <w:rPr>
          <w:rFonts w:ascii="Arial" w:hAnsi="Arial" w:cs="Arial"/>
        </w:rPr>
        <w:t xml:space="preserve">on </w:t>
      </w:r>
      <w:r w:rsidR="00E2642B">
        <w:rPr>
          <w:rFonts w:ascii="Arial" w:hAnsi="Arial" w:cs="Arial"/>
        </w:rPr>
        <w:t xml:space="preserve">Friday </w:t>
      </w:r>
      <w:r w:rsidR="00BB4E29">
        <w:rPr>
          <w:rFonts w:ascii="Arial" w:hAnsi="Arial" w:cs="Arial"/>
        </w:rPr>
        <w:t>01 June</w:t>
      </w:r>
      <w:r w:rsidRPr="00754E04">
        <w:rPr>
          <w:rFonts w:ascii="Arial" w:hAnsi="Arial" w:cs="Arial"/>
        </w:rPr>
        <w:t xml:space="preserve"> 2020</w:t>
      </w:r>
      <w:r w:rsidR="00BB4E29">
        <w:rPr>
          <w:rStyle w:val="FootnoteReference"/>
          <w:rFonts w:ascii="Arial" w:hAnsi="Arial" w:cs="Arial"/>
        </w:rPr>
        <w:footnoteReference w:id="1"/>
      </w:r>
      <w:r w:rsidRPr="00754E04">
        <w:rPr>
          <w:rFonts w:ascii="Arial" w:hAnsi="Arial" w:cs="Arial"/>
        </w:rPr>
        <w:t>.</w:t>
      </w:r>
    </w:p>
    <w:p w:rsidR="00754E04" w:rsidP="00493DD6" w:rsidRDefault="00754E04" w14:paraId="68526B96" w14:textId="77777777">
      <w:pPr>
        <w:rPr>
          <w:rFonts w:ascii="Arial" w:hAnsi="Arial" w:cs="Arial"/>
        </w:rPr>
      </w:pPr>
    </w:p>
    <w:p w:rsidRPr="007144F0" w:rsidR="00636CEF" w:rsidP="00F8746D" w:rsidRDefault="00636CEF" w14:paraId="3CF654C0" w14:textId="77777777">
      <w:pPr>
        <w:pStyle w:val="GNHS3"/>
      </w:pPr>
      <w:r w:rsidRPr="007144F0">
        <w:t>July 2020: Covid-19 statement for greater Norwich homelessness strategy 2020-25</w:t>
      </w:r>
    </w:p>
    <w:p w:rsidR="00F7765C" w:rsidP="00636CEF" w:rsidRDefault="00F7765C" w14:paraId="511E1BDF" w14:textId="77777777">
      <w:pPr>
        <w:rPr>
          <w:rFonts w:ascii="Arial" w:hAnsi="Arial" w:cs="Arial"/>
          <w:b/>
        </w:rPr>
      </w:pPr>
    </w:p>
    <w:p w:rsidR="00636CEF" w:rsidP="00F8746D" w:rsidRDefault="00636CEF" w14:paraId="0B2016DA" w14:textId="77777777">
      <w:pPr>
        <w:pStyle w:val="GNHS3"/>
      </w:pPr>
      <w:r w:rsidRPr="003010ED">
        <w:t>Introduction</w:t>
      </w:r>
    </w:p>
    <w:p w:rsidR="007726E2" w:rsidP="00636CEF" w:rsidRDefault="007726E2" w14:paraId="69195EB1" w14:textId="77777777">
      <w:pPr>
        <w:rPr>
          <w:rFonts w:ascii="Arial" w:hAnsi="Arial" w:cs="Arial"/>
          <w:b/>
        </w:rPr>
      </w:pPr>
    </w:p>
    <w:p w:rsidR="00636CEF" w:rsidP="00636CEF" w:rsidRDefault="00636CEF" w14:paraId="0D52A0AB" w14:textId="77777777">
      <w:pPr>
        <w:rPr>
          <w:rFonts w:ascii="Arial" w:hAnsi="Arial" w:cs="Arial"/>
          <w:lang w:val="en-US"/>
        </w:rPr>
      </w:pPr>
      <w:r>
        <w:rPr>
          <w:rFonts w:ascii="Arial" w:hAnsi="Arial" w:cs="Arial"/>
        </w:rPr>
        <w:t>Whilst this strategy was out for public consultation the Covid-19 pandemic hit the world. Everyone has been affected by Covid-19 to a lesser or greater extent. As local housing authorities we were asked by central government to “get everyone in.” We were asked by central government to “</w:t>
      </w:r>
      <w:r w:rsidRPr="007144F0">
        <w:rPr>
          <w:rFonts w:ascii="Arial" w:hAnsi="Arial" w:cs="Arial"/>
          <w:lang w:val="en-US"/>
        </w:rPr>
        <w:t>focus on people who are, or are at risk of, sleeping rough, and those who are in accommodation where it is difficult to self-isolate, such as shelters and assessment centres</w:t>
      </w:r>
      <w:r>
        <w:rPr>
          <w:rFonts w:ascii="Arial" w:hAnsi="Arial" w:cs="Arial"/>
          <w:lang w:val="en-US"/>
        </w:rPr>
        <w:t>.” To date we have accommodated well over 100 people into safe accommodation and moved people into more permanent homes. This vital work has been successful in saving lives and keeping people safe whilst we experienced the surge in the pandemic. This work has involved close work with our County Council, health, Police and voluntary sector colleagues. Community help hubs were formed managing the delivery of food supplies and medication to the most vulnerable in the greater Norwich area.</w:t>
      </w:r>
    </w:p>
    <w:p w:rsidR="00636CEF" w:rsidP="00636CEF" w:rsidRDefault="00636CEF" w14:paraId="35EA76F8" w14:textId="77777777">
      <w:pPr>
        <w:rPr>
          <w:rFonts w:ascii="Arial" w:hAnsi="Arial" w:cs="Arial"/>
          <w:lang w:val="en-US"/>
        </w:rPr>
      </w:pPr>
    </w:p>
    <w:p w:rsidR="00636CEF" w:rsidP="000A340D" w:rsidRDefault="00636CEF" w14:paraId="7EE2E06E" w14:textId="77777777">
      <w:pPr>
        <w:pStyle w:val="GNHS3"/>
        <w:rPr>
          <w:lang w:val="en-US"/>
        </w:rPr>
      </w:pPr>
      <w:r w:rsidRPr="007144F0">
        <w:rPr>
          <w:lang w:val="en-US"/>
        </w:rPr>
        <w:t>What have we learnt from Covid-19?</w:t>
      </w:r>
    </w:p>
    <w:p w:rsidRPr="007144F0" w:rsidR="007726E2" w:rsidP="00636CEF" w:rsidRDefault="007726E2" w14:paraId="60C8E215" w14:textId="77777777">
      <w:pPr>
        <w:rPr>
          <w:rFonts w:ascii="Arial" w:hAnsi="Arial" w:cs="Arial"/>
          <w:b/>
          <w:lang w:val="en-US"/>
        </w:rPr>
      </w:pPr>
    </w:p>
    <w:p w:rsidR="00636CEF" w:rsidP="00636CEF" w:rsidRDefault="00636CEF" w14:paraId="15961EDE" w14:textId="77777777">
      <w:pPr>
        <w:autoSpaceDE w:val="0"/>
        <w:autoSpaceDN w:val="0"/>
        <w:adjustRightInd w:val="0"/>
        <w:rPr>
          <w:rFonts w:ascii="Arial" w:hAnsi="Arial" w:cs="Arial"/>
        </w:rPr>
      </w:pPr>
      <w:r>
        <w:rPr>
          <w:rFonts w:ascii="Arial" w:hAnsi="Arial" w:cs="Arial"/>
        </w:rPr>
        <w:t xml:space="preserve">There has been tremendous pressures placed on households through the country and locally. It is likely that as a result of the pandemic that there will be medium to long term affects to our economy and local population placing increasing numbers of people at risk of homelessness. In the short term we have seen worrying increases in the number of reported domestic abuse cases, especially in Norwich. Also we have seen a number of businesses close and shed jobs as a result of the economic downturn. There is genuine concern that when the ban on evictions is ended in August 2020 we will begin to see a spike in private sector evictions as a result of households struggling to juggle their household finances with increasing debt. A sign of this has been the increase of households in receipt of welfare payments to help with their housing and daily living costs. It is not clear yet for how long the effects of the pandemic will have on the economy as whole. In a recent survey carried out by the Resolution Foundation found that, </w:t>
      </w:r>
      <w:r w:rsidRPr="00324899">
        <w:rPr>
          <w:rFonts w:ascii="Arial" w:hAnsi="Arial" w:cs="Arial"/>
        </w:rPr>
        <w:t>“</w:t>
      </w:r>
      <w:r w:rsidRPr="00324899">
        <w:rPr>
          <w:rFonts w:ascii="AdelleSansLt" w:hAnsi="AdelleSansLt" w:cs="AdelleSansLt"/>
        </w:rPr>
        <w:t>….34 per cent of new UC claimants…are having trouble keeping up with bill payments, 42 per cent have cut back on spending to prioritise housing costs, and over half have already dipped into their savings.”</w:t>
      </w:r>
      <w:r w:rsidRPr="00324899">
        <w:rPr>
          <w:rStyle w:val="FootnoteReference"/>
          <w:rFonts w:ascii="Arial" w:hAnsi="Arial" w:cs="Arial"/>
          <w:sz w:val="16"/>
          <w:szCs w:val="16"/>
        </w:rPr>
        <w:footnoteReference w:id="2"/>
      </w:r>
      <w:r w:rsidRPr="00324899">
        <w:rPr>
          <w:rFonts w:ascii="AdelleSansLt" w:hAnsi="AdelleSansLt" w:cs="AdelleSansLt"/>
        </w:rPr>
        <w:t xml:space="preserve"> It is </w:t>
      </w:r>
      <w:r>
        <w:rPr>
          <w:rFonts w:ascii="Arial" w:hAnsi="Arial" w:cs="Arial"/>
        </w:rPr>
        <w:t>likely that the following groups will continue to be affected by the pandemic:</w:t>
      </w:r>
    </w:p>
    <w:p w:rsidR="00636CEF" w:rsidP="00636CEF" w:rsidRDefault="00636CEF" w14:paraId="3B2AD8F4" w14:textId="77777777">
      <w:pPr>
        <w:autoSpaceDE w:val="0"/>
        <w:autoSpaceDN w:val="0"/>
        <w:adjustRightInd w:val="0"/>
        <w:rPr>
          <w:rFonts w:ascii="Arial" w:hAnsi="Arial" w:cs="Arial"/>
        </w:rPr>
      </w:pPr>
    </w:p>
    <w:p w:rsidRPr="00290EB3" w:rsidR="00636CEF" w:rsidP="00636CEF" w:rsidRDefault="00636CEF" w14:paraId="75D1EC38" w14:textId="77777777">
      <w:pPr>
        <w:pStyle w:val="ListParagraph"/>
        <w:numPr>
          <w:ilvl w:val="0"/>
          <w:numId w:val="33"/>
        </w:numPr>
        <w:spacing w:after="160" w:line="259" w:lineRule="auto"/>
        <w:rPr>
          <w:rFonts w:ascii="Arial" w:hAnsi="Arial" w:cs="Arial"/>
        </w:rPr>
      </w:pPr>
      <w:r w:rsidRPr="00290EB3">
        <w:rPr>
          <w:rFonts w:ascii="Arial" w:hAnsi="Arial" w:cs="Arial"/>
        </w:rPr>
        <w:t>Increased levels of domestic abuse</w:t>
      </w:r>
    </w:p>
    <w:p w:rsidRPr="00290EB3" w:rsidR="00636CEF" w:rsidP="00636CEF" w:rsidRDefault="00636CEF" w14:paraId="1160098C" w14:textId="77777777">
      <w:pPr>
        <w:pStyle w:val="ListParagraph"/>
        <w:numPr>
          <w:ilvl w:val="0"/>
          <w:numId w:val="33"/>
        </w:numPr>
        <w:spacing w:after="160" w:line="259" w:lineRule="auto"/>
        <w:rPr>
          <w:rFonts w:ascii="Arial" w:hAnsi="Arial" w:cs="Arial"/>
        </w:rPr>
      </w:pPr>
      <w:r w:rsidRPr="00290EB3">
        <w:rPr>
          <w:rFonts w:ascii="Arial" w:hAnsi="Arial" w:cs="Arial"/>
        </w:rPr>
        <w:t>Young people</w:t>
      </w:r>
    </w:p>
    <w:p w:rsidRPr="00290EB3" w:rsidR="00636CEF" w:rsidP="00636CEF" w:rsidRDefault="00636CEF" w14:paraId="2C5AF43C" w14:textId="77777777">
      <w:pPr>
        <w:pStyle w:val="ListParagraph"/>
        <w:numPr>
          <w:ilvl w:val="0"/>
          <w:numId w:val="33"/>
        </w:numPr>
        <w:spacing w:after="160" w:line="259" w:lineRule="auto"/>
        <w:rPr>
          <w:rFonts w:ascii="Arial" w:hAnsi="Arial" w:cs="Arial"/>
        </w:rPr>
      </w:pPr>
      <w:r w:rsidRPr="00290EB3">
        <w:rPr>
          <w:rFonts w:ascii="Arial" w:hAnsi="Arial" w:cs="Arial"/>
        </w:rPr>
        <w:t>Social renters</w:t>
      </w:r>
    </w:p>
    <w:p w:rsidRPr="00290EB3" w:rsidR="00636CEF" w:rsidP="00636CEF" w:rsidRDefault="00636CEF" w14:paraId="38587A5D" w14:textId="77777777">
      <w:pPr>
        <w:pStyle w:val="ListParagraph"/>
        <w:numPr>
          <w:ilvl w:val="0"/>
          <w:numId w:val="33"/>
        </w:numPr>
        <w:spacing w:after="160" w:line="259" w:lineRule="auto"/>
        <w:rPr>
          <w:rFonts w:ascii="Arial" w:hAnsi="Arial" w:cs="Arial"/>
        </w:rPr>
      </w:pPr>
      <w:r w:rsidRPr="00290EB3">
        <w:rPr>
          <w:rFonts w:ascii="Arial" w:hAnsi="Arial" w:cs="Arial"/>
        </w:rPr>
        <w:lastRenderedPageBreak/>
        <w:t>People living in the private rented sector</w:t>
      </w:r>
    </w:p>
    <w:p w:rsidR="00636CEF" w:rsidP="00636CEF" w:rsidRDefault="00636CEF" w14:paraId="355B1016" w14:textId="77777777">
      <w:pPr>
        <w:rPr>
          <w:rFonts w:ascii="Arial" w:hAnsi="Arial" w:cs="Arial"/>
        </w:rPr>
      </w:pPr>
      <w:r>
        <w:rPr>
          <w:rFonts w:ascii="Arial" w:hAnsi="Arial" w:cs="Arial"/>
        </w:rPr>
        <w:t>The government has provided significant help and support to people affected by the pandemic, however, help such as the uprating of Local Housing Allowance levels will make little difference to those households already affected by the continuing household benefit cap that has not been lifted or temporarily removed.</w:t>
      </w:r>
    </w:p>
    <w:p w:rsidR="00636CEF" w:rsidP="00636CEF" w:rsidRDefault="00636CEF" w14:paraId="0184EEB8" w14:textId="77777777">
      <w:pPr>
        <w:rPr>
          <w:rFonts w:ascii="Arial" w:hAnsi="Arial" w:cs="Arial"/>
        </w:rPr>
      </w:pPr>
    </w:p>
    <w:p w:rsidR="00636CEF" w:rsidP="000A340D" w:rsidRDefault="00636CEF" w14:paraId="63C6AA56" w14:textId="77777777">
      <w:pPr>
        <w:pStyle w:val="GNHS3"/>
      </w:pPr>
      <w:r w:rsidRPr="009D3D49">
        <w:t>Recovery plans</w:t>
      </w:r>
    </w:p>
    <w:p w:rsidR="007726E2" w:rsidP="00636CEF" w:rsidRDefault="007726E2" w14:paraId="57818680" w14:textId="77777777">
      <w:pPr>
        <w:rPr>
          <w:rFonts w:ascii="Arial" w:hAnsi="Arial" w:cs="Arial"/>
          <w:b/>
        </w:rPr>
      </w:pPr>
    </w:p>
    <w:p w:rsidR="00636CEF" w:rsidP="00636CEF" w:rsidRDefault="00636CEF" w14:paraId="1F11B8F7" w14:textId="77777777">
      <w:pPr>
        <w:rPr>
          <w:rFonts w:ascii="Arial" w:hAnsi="Arial" w:cs="Arial"/>
        </w:rPr>
      </w:pPr>
      <w:r>
        <w:rPr>
          <w:rFonts w:ascii="Arial" w:hAnsi="Arial" w:cs="Arial"/>
        </w:rPr>
        <w:t>Each of the three local authorities in greater Norwich has released a recovery or blueprint plan to focus our efforts to help those in our communities worst affected by the pandemic including those who have lost their jobs, are vulnerable or facing uncertain financial times in their lives as well as building and harnessing the social capital that came to the fore as a result of the adversity that was faced.</w:t>
      </w:r>
    </w:p>
    <w:p w:rsidR="00636CEF" w:rsidP="00636CEF" w:rsidRDefault="00636CEF" w14:paraId="05F194C1" w14:textId="77777777">
      <w:pPr>
        <w:rPr>
          <w:rFonts w:ascii="Arial" w:hAnsi="Arial" w:cs="Arial"/>
        </w:rPr>
      </w:pPr>
    </w:p>
    <w:p w:rsidRPr="00754E04" w:rsidR="00616716" w:rsidP="00493DD6" w:rsidRDefault="00636CEF" w14:paraId="1FE46C5C" w14:textId="77777777">
      <w:pPr>
        <w:rPr>
          <w:rFonts w:ascii="Arial" w:hAnsi="Arial" w:cs="Arial"/>
        </w:rPr>
      </w:pPr>
      <w:r>
        <w:rPr>
          <w:rFonts w:ascii="Arial" w:hAnsi="Arial" w:cs="Arial"/>
        </w:rPr>
        <w:t>We are confident that the priorities that we set in the draft consultation strategy are still relevant in light of the recent pandemic but we will ensure that we will continue review and monitor these priorities during the life of the strategy.</w:t>
      </w:r>
    </w:p>
    <w:p w:rsidRPr="00E50821" w:rsidR="006205DE" w:rsidP="00007A21" w:rsidRDefault="006205DE" w14:paraId="191DBA66" w14:textId="77777777">
      <w:pPr>
        <w:rPr>
          <w:rFonts w:ascii="Arial" w:hAnsi="Arial" w:cs="Arial"/>
        </w:rPr>
      </w:pPr>
    </w:p>
    <w:p w:rsidRPr="005A7CF0" w:rsidR="000A52ED" w:rsidP="005A7CF0" w:rsidRDefault="00CC269F" w14:paraId="24849EA4" w14:textId="77777777">
      <w:pPr>
        <w:pStyle w:val="GNHS2"/>
        <w:numPr>
          <w:ilvl w:val="0"/>
          <w:numId w:val="37"/>
        </w:numPr>
      </w:pPr>
      <w:r w:rsidRPr="00AF7929">
        <w:t>Strategic C</w:t>
      </w:r>
      <w:r w:rsidRPr="00AF7929" w:rsidR="00B064B2">
        <w:t>on</w:t>
      </w:r>
      <w:r w:rsidRPr="00AF7929">
        <w:t>text and P</w:t>
      </w:r>
      <w:r w:rsidRPr="00AF7929" w:rsidR="00B064B2">
        <w:t>urpose</w:t>
      </w:r>
    </w:p>
    <w:p w:rsidR="006205DE" w:rsidP="006205DE" w:rsidRDefault="006205DE" w14:paraId="0EC6CD47" w14:textId="77777777">
      <w:pPr>
        <w:pStyle w:val="ListParagraph"/>
        <w:ind w:left="0"/>
        <w:rPr>
          <w:rFonts w:ascii="Arial" w:hAnsi="Arial" w:cs="Arial"/>
          <w:b/>
          <w:sz w:val="28"/>
          <w:szCs w:val="28"/>
        </w:rPr>
      </w:pPr>
    </w:p>
    <w:p w:rsidRPr="000A52ED" w:rsidR="0015133B" w:rsidP="000A52ED" w:rsidRDefault="0015133B" w14:paraId="7BBDCC25" w14:textId="77777777">
      <w:pPr>
        <w:pStyle w:val="ListParagraph"/>
        <w:ind w:left="0"/>
        <w:rPr>
          <w:rFonts w:ascii="Arial" w:hAnsi="Arial" w:cs="Arial"/>
          <w:b/>
          <w:sz w:val="28"/>
          <w:szCs w:val="28"/>
        </w:rPr>
      </w:pPr>
      <w:r w:rsidRPr="000A52ED">
        <w:rPr>
          <w:rFonts w:ascii="Arial" w:hAnsi="Arial" w:cs="Arial"/>
        </w:rPr>
        <w:t xml:space="preserve">The Homelessness Act 2002 requires each local housing authority to review homelessness in its area and to develop a new homelessness strategy every five years. </w:t>
      </w:r>
      <w:r w:rsidRPr="000A52ED" w:rsidR="00D47C49">
        <w:rPr>
          <w:rFonts w:ascii="Arial" w:hAnsi="Arial" w:cs="Arial"/>
        </w:rPr>
        <w:t>T</w:t>
      </w:r>
      <w:r w:rsidRPr="000A52ED">
        <w:rPr>
          <w:rFonts w:ascii="Arial" w:hAnsi="Arial" w:cs="Arial"/>
        </w:rPr>
        <w:t>he Homelessness Code of Guidance provides guidance on housing authorities’ duties to carry out a homelessness review and to formulate and publish a strategy based on the results of that review.</w:t>
      </w:r>
    </w:p>
    <w:p w:rsidR="0015133B" w:rsidP="00007A21" w:rsidRDefault="0015133B" w14:paraId="3B4D9FDA" w14:textId="77777777">
      <w:pPr>
        <w:rPr>
          <w:rFonts w:ascii="Arial" w:hAnsi="Arial" w:cs="Arial"/>
        </w:rPr>
      </w:pPr>
    </w:p>
    <w:p w:rsidRPr="00D47C49" w:rsidR="00D47C49" w:rsidP="005A7CF0" w:rsidRDefault="008A1412" w14:paraId="2BFA4424" w14:textId="77777777">
      <w:pPr>
        <w:pStyle w:val="GNHS3"/>
      </w:pPr>
      <w:r>
        <w:t>1.1</w:t>
      </w:r>
      <w:r>
        <w:tab/>
      </w:r>
      <w:r w:rsidR="009E0896">
        <w:t>Rough S</w:t>
      </w:r>
      <w:r w:rsidRPr="00D47C49" w:rsidR="00D47C49">
        <w:t>leeping</w:t>
      </w:r>
    </w:p>
    <w:p w:rsidR="00D47C49" w:rsidP="00007A21" w:rsidRDefault="00D47C49" w14:paraId="3B14D9AB" w14:textId="77777777">
      <w:pPr>
        <w:rPr>
          <w:rFonts w:ascii="Arial" w:hAnsi="Arial" w:cs="Arial"/>
        </w:rPr>
      </w:pPr>
    </w:p>
    <w:p w:rsidR="00C823AB" w:rsidP="00C823AB" w:rsidRDefault="00C823AB" w14:paraId="29EF3EA1" w14:textId="77777777">
      <w:pPr>
        <w:rPr>
          <w:rFonts w:ascii="Arial" w:hAnsi="Arial" w:cs="Arial"/>
        </w:rPr>
      </w:pPr>
      <w:r>
        <w:rPr>
          <w:rFonts w:ascii="Arial" w:hAnsi="Arial" w:cs="Arial"/>
        </w:rPr>
        <w:t>For a number of years Norwich has produced a rough sleeping strategy to help tackle and reduce the number of rough sleepers in the city. The current Norwich Tackling Rough Sleeping Strategy 2017-22 will run to the end of 2022, with a new strategy covering the Greater Norwich area running from 2022 (until 2027). South Norfolk and Broadland Councils will publish a Rough Sleeping Statement in 2020 to run until 2022, to cover the interim period before the introduction of the new Greater Norwich Rough Sleeping Strategy. The reason why we publish a separate rough sleeping and homelessness strategy is that we want to give clear focus and ownership of our efforts to reduce rough sleeping in our districts.</w:t>
      </w:r>
    </w:p>
    <w:p w:rsidR="00C823AB" w:rsidP="00C823AB" w:rsidRDefault="00C823AB" w14:paraId="5A42613B" w14:textId="77777777">
      <w:pPr>
        <w:rPr>
          <w:rFonts w:ascii="Arial" w:hAnsi="Arial" w:cs="Arial"/>
        </w:rPr>
      </w:pPr>
    </w:p>
    <w:p w:rsidR="00C823AB" w:rsidP="00C823AB" w:rsidRDefault="00C823AB" w14:paraId="3F98FDDC" w14:textId="77777777">
      <w:pPr>
        <w:rPr>
          <w:rFonts w:ascii="Arial" w:hAnsi="Arial" w:cs="Arial"/>
        </w:rPr>
      </w:pPr>
      <w:r>
        <w:rPr>
          <w:rFonts w:ascii="Arial" w:hAnsi="Arial" w:cs="Arial"/>
        </w:rPr>
        <w:t>The focus of this strategy will be to look at the determinants of homelessness, such as:</w:t>
      </w:r>
    </w:p>
    <w:p w:rsidR="00D47C49" w:rsidP="00007A21" w:rsidRDefault="00D47C49" w14:paraId="6B4FAA33" w14:textId="77777777">
      <w:pPr>
        <w:rPr>
          <w:rFonts w:ascii="Arial" w:hAnsi="Arial" w:cs="Arial"/>
        </w:rPr>
      </w:pPr>
    </w:p>
    <w:p w:rsidRPr="00D47C49" w:rsidR="00D47C49" w:rsidP="00616716" w:rsidRDefault="00D47C49" w14:paraId="6A415917" w14:textId="77777777">
      <w:pPr>
        <w:pStyle w:val="ListParagraph"/>
        <w:numPr>
          <w:ilvl w:val="0"/>
          <w:numId w:val="23"/>
        </w:numPr>
        <w:rPr>
          <w:rFonts w:ascii="Arial" w:hAnsi="Arial" w:cs="Arial"/>
        </w:rPr>
      </w:pPr>
      <w:r w:rsidRPr="00D47C49">
        <w:rPr>
          <w:rFonts w:ascii="Arial" w:hAnsi="Arial" w:cs="Arial"/>
        </w:rPr>
        <w:t>Youth</w:t>
      </w:r>
      <w:r w:rsidR="00597829">
        <w:rPr>
          <w:rFonts w:ascii="Arial" w:hAnsi="Arial" w:cs="Arial"/>
        </w:rPr>
        <w:t xml:space="preserve"> and S</w:t>
      </w:r>
      <w:r w:rsidR="005C60BE">
        <w:rPr>
          <w:rFonts w:ascii="Arial" w:hAnsi="Arial" w:cs="Arial"/>
        </w:rPr>
        <w:t>ingle</w:t>
      </w:r>
      <w:r w:rsidR="00597829">
        <w:rPr>
          <w:rFonts w:ascii="Arial" w:hAnsi="Arial" w:cs="Arial"/>
        </w:rPr>
        <w:t xml:space="preserve"> H</w:t>
      </w:r>
      <w:r w:rsidRPr="00D47C49">
        <w:rPr>
          <w:rFonts w:ascii="Arial" w:hAnsi="Arial" w:cs="Arial"/>
        </w:rPr>
        <w:t>omelessness</w:t>
      </w:r>
    </w:p>
    <w:p w:rsidRPr="00D47C49" w:rsidR="00D47C49" w:rsidP="00616716" w:rsidRDefault="00597829" w14:paraId="6803BD37" w14:textId="77777777">
      <w:pPr>
        <w:pStyle w:val="ListParagraph"/>
        <w:numPr>
          <w:ilvl w:val="0"/>
          <w:numId w:val="23"/>
        </w:numPr>
        <w:rPr>
          <w:rFonts w:ascii="Arial" w:hAnsi="Arial" w:cs="Arial"/>
        </w:rPr>
      </w:pPr>
      <w:r>
        <w:rPr>
          <w:rFonts w:ascii="Arial" w:hAnsi="Arial" w:cs="Arial"/>
        </w:rPr>
        <w:t>Domestic A</w:t>
      </w:r>
      <w:r w:rsidRPr="00D47C49" w:rsidR="00D47C49">
        <w:rPr>
          <w:rFonts w:ascii="Arial" w:hAnsi="Arial" w:cs="Arial"/>
        </w:rPr>
        <w:t>buse</w:t>
      </w:r>
    </w:p>
    <w:p w:rsidR="00D47C49" w:rsidP="00616716" w:rsidRDefault="00597829" w14:paraId="727EDC77" w14:textId="77777777">
      <w:pPr>
        <w:pStyle w:val="ListParagraph"/>
        <w:numPr>
          <w:ilvl w:val="0"/>
          <w:numId w:val="23"/>
        </w:numPr>
        <w:rPr>
          <w:rFonts w:ascii="Arial" w:hAnsi="Arial" w:cs="Arial"/>
        </w:rPr>
      </w:pPr>
      <w:r>
        <w:rPr>
          <w:rFonts w:ascii="Arial" w:hAnsi="Arial" w:cs="Arial"/>
        </w:rPr>
        <w:t>Relationship B</w:t>
      </w:r>
      <w:r w:rsidRPr="00D47C49" w:rsidR="00D47C49">
        <w:rPr>
          <w:rFonts w:ascii="Arial" w:hAnsi="Arial" w:cs="Arial"/>
        </w:rPr>
        <w:t>reakdown</w:t>
      </w:r>
    </w:p>
    <w:p w:rsidR="00597829" w:rsidP="00616716" w:rsidRDefault="00597829" w14:paraId="07DCBA3E" w14:textId="77777777">
      <w:pPr>
        <w:pStyle w:val="ListParagraph"/>
        <w:numPr>
          <w:ilvl w:val="0"/>
          <w:numId w:val="23"/>
        </w:numPr>
        <w:rPr>
          <w:rFonts w:ascii="Arial" w:hAnsi="Arial" w:cs="Arial"/>
        </w:rPr>
      </w:pPr>
      <w:r>
        <w:rPr>
          <w:rFonts w:ascii="Arial" w:hAnsi="Arial" w:cs="Arial"/>
        </w:rPr>
        <w:t>Low Income</w:t>
      </w:r>
    </w:p>
    <w:p w:rsidRPr="00D47C49" w:rsidR="00D47C49" w:rsidP="00616716" w:rsidRDefault="00D47C49" w14:paraId="39E19D7D" w14:textId="77777777">
      <w:pPr>
        <w:pStyle w:val="ListParagraph"/>
        <w:numPr>
          <w:ilvl w:val="0"/>
          <w:numId w:val="23"/>
        </w:numPr>
        <w:rPr>
          <w:rFonts w:ascii="Arial" w:hAnsi="Arial" w:cs="Arial"/>
        </w:rPr>
      </w:pPr>
      <w:r>
        <w:rPr>
          <w:rFonts w:ascii="Arial" w:hAnsi="Arial" w:cs="Arial"/>
        </w:rPr>
        <w:lastRenderedPageBreak/>
        <w:t xml:space="preserve">How we can </w:t>
      </w:r>
      <w:r w:rsidR="00AF7929">
        <w:rPr>
          <w:rFonts w:ascii="Arial" w:hAnsi="Arial" w:cs="Arial"/>
        </w:rPr>
        <w:t>s</w:t>
      </w:r>
      <w:r w:rsidR="00C124BF">
        <w:rPr>
          <w:rFonts w:ascii="Arial" w:hAnsi="Arial" w:cs="Arial"/>
        </w:rPr>
        <w:t xml:space="preserve">trengthen our </w:t>
      </w:r>
      <w:r>
        <w:rPr>
          <w:rFonts w:ascii="Arial" w:hAnsi="Arial" w:cs="Arial"/>
        </w:rPr>
        <w:t>prevent</w:t>
      </w:r>
      <w:r w:rsidR="00C124BF">
        <w:rPr>
          <w:rFonts w:ascii="Arial" w:hAnsi="Arial" w:cs="Arial"/>
        </w:rPr>
        <w:t>ion of</w:t>
      </w:r>
      <w:r>
        <w:rPr>
          <w:rFonts w:ascii="Arial" w:hAnsi="Arial" w:cs="Arial"/>
        </w:rPr>
        <w:t xml:space="preserve"> homelessness</w:t>
      </w:r>
      <w:r w:rsidR="00C124BF">
        <w:rPr>
          <w:rFonts w:ascii="Arial" w:hAnsi="Arial" w:cs="Arial"/>
        </w:rPr>
        <w:t xml:space="preserve"> duties</w:t>
      </w:r>
    </w:p>
    <w:p w:rsidR="00D47C49" w:rsidP="00007A21" w:rsidRDefault="00D47C49" w14:paraId="1F638A65" w14:textId="77777777">
      <w:pPr>
        <w:rPr>
          <w:rFonts w:ascii="Arial" w:hAnsi="Arial" w:cs="Arial"/>
        </w:rPr>
      </w:pPr>
    </w:p>
    <w:p w:rsidRPr="00D47C49" w:rsidR="00D47C49" w:rsidP="005A7CF0" w:rsidRDefault="008A1412" w14:paraId="48C11131" w14:textId="77777777">
      <w:pPr>
        <w:pStyle w:val="GNHS3"/>
      </w:pPr>
      <w:r>
        <w:t>1.2</w:t>
      </w:r>
      <w:r>
        <w:tab/>
      </w:r>
      <w:r w:rsidRPr="00D47C49" w:rsidR="00D47C49">
        <w:t>Homeless</w:t>
      </w:r>
      <w:r w:rsidR="00D47C49">
        <w:t>ness</w:t>
      </w:r>
      <w:r w:rsidRPr="00D47C49" w:rsidR="00D47C49">
        <w:t xml:space="preserve"> Reduction Act</w:t>
      </w:r>
      <w:r w:rsidR="002F64C9">
        <w:t xml:space="preserve"> (HRA)</w:t>
      </w:r>
    </w:p>
    <w:p w:rsidR="00D47C49" w:rsidP="00007A21" w:rsidRDefault="00D47C49" w14:paraId="31BD7019" w14:textId="77777777">
      <w:pPr>
        <w:rPr>
          <w:rFonts w:ascii="Arial" w:hAnsi="Arial" w:cs="Arial"/>
        </w:rPr>
      </w:pPr>
    </w:p>
    <w:p w:rsidR="00D47C49" w:rsidP="00007A21" w:rsidRDefault="00795650" w14:paraId="4B824D1E" w14:textId="77777777">
      <w:pPr>
        <w:rPr>
          <w:rFonts w:ascii="Arial" w:hAnsi="Arial" w:cs="Arial"/>
        </w:rPr>
      </w:pPr>
      <w:r>
        <w:rPr>
          <w:rFonts w:ascii="Arial" w:hAnsi="Arial" w:cs="Arial"/>
        </w:rPr>
        <w:t>The Homelessness Reduction Act was implemented in</w:t>
      </w:r>
      <w:r w:rsidR="00D47C49">
        <w:rPr>
          <w:rFonts w:ascii="Arial" w:hAnsi="Arial" w:cs="Arial"/>
        </w:rPr>
        <w:t xml:space="preserve"> April 201</w:t>
      </w:r>
      <w:r>
        <w:rPr>
          <w:rFonts w:ascii="Arial" w:hAnsi="Arial" w:cs="Arial"/>
        </w:rPr>
        <w:t>8.</w:t>
      </w:r>
    </w:p>
    <w:p w:rsidR="0015133B" w:rsidP="00007A21" w:rsidRDefault="0015133B" w14:paraId="60D5502A" w14:textId="77777777">
      <w:pPr>
        <w:rPr>
          <w:rFonts w:ascii="Arial" w:hAnsi="Arial" w:cs="Arial"/>
        </w:rPr>
      </w:pPr>
    </w:p>
    <w:p w:rsidR="0020393B" w:rsidP="00007A21" w:rsidRDefault="00753370" w14:paraId="7271340C" w14:textId="77777777">
      <w:pPr>
        <w:rPr>
          <w:rFonts w:ascii="Arial" w:hAnsi="Arial" w:cs="Arial"/>
        </w:rPr>
      </w:pPr>
      <w:r>
        <w:rPr>
          <w:rFonts w:ascii="Arial" w:hAnsi="Arial" w:cs="Arial"/>
        </w:rPr>
        <w:t>In addition to the H</w:t>
      </w:r>
      <w:r w:rsidR="002F64C9">
        <w:rPr>
          <w:rFonts w:ascii="Arial" w:hAnsi="Arial" w:cs="Arial"/>
        </w:rPr>
        <w:t>RA</w:t>
      </w:r>
      <w:r>
        <w:rPr>
          <w:rFonts w:ascii="Arial" w:hAnsi="Arial" w:cs="Arial"/>
        </w:rPr>
        <w:t xml:space="preserve"> there are two other sets of new regulations:</w:t>
      </w:r>
    </w:p>
    <w:p w:rsidR="00753370" w:rsidP="00007A21" w:rsidRDefault="00753370" w14:paraId="7BE69390" w14:textId="77777777">
      <w:pPr>
        <w:rPr>
          <w:rFonts w:ascii="Arial" w:hAnsi="Arial" w:cs="Arial"/>
        </w:rPr>
      </w:pPr>
    </w:p>
    <w:p w:rsidR="00753370" w:rsidP="00616716" w:rsidRDefault="002F64C9" w14:paraId="57B7E808" w14:textId="77777777">
      <w:pPr>
        <w:pStyle w:val="ListParagraph"/>
        <w:numPr>
          <w:ilvl w:val="0"/>
          <w:numId w:val="24"/>
        </w:numPr>
        <w:rPr>
          <w:rFonts w:ascii="Arial" w:hAnsi="Arial" w:cs="Arial"/>
        </w:rPr>
      </w:pPr>
      <w:r>
        <w:rPr>
          <w:rFonts w:ascii="Arial" w:hAnsi="Arial" w:cs="Arial"/>
        </w:rPr>
        <w:t>The Homelessness Reduction Act (Commencement and Transitional and Savings Provisions) Regulations 2018.</w:t>
      </w:r>
    </w:p>
    <w:p w:rsidR="002F64C9" w:rsidP="00616716" w:rsidRDefault="002F64C9" w14:paraId="454D6A53" w14:textId="77777777">
      <w:pPr>
        <w:pStyle w:val="ListParagraph"/>
        <w:numPr>
          <w:ilvl w:val="0"/>
          <w:numId w:val="24"/>
        </w:numPr>
        <w:rPr>
          <w:rFonts w:ascii="Arial" w:hAnsi="Arial" w:cs="Arial"/>
        </w:rPr>
      </w:pPr>
      <w:r>
        <w:rPr>
          <w:rFonts w:ascii="Arial" w:hAnsi="Arial" w:cs="Arial"/>
        </w:rPr>
        <w:t>The Homelessness (Review Procedure) regulations 2018, which set out the procedures for conducting reviews under the Act and list the public authorities to which the duty to refer applies.</w:t>
      </w:r>
    </w:p>
    <w:p w:rsidR="002F64C9" w:rsidP="00007A21" w:rsidRDefault="002F64C9" w14:paraId="45F4CFD0" w14:textId="77777777">
      <w:pPr>
        <w:rPr>
          <w:rFonts w:ascii="Arial" w:hAnsi="Arial" w:cs="Arial"/>
        </w:rPr>
      </w:pPr>
    </w:p>
    <w:p w:rsidR="00C612AD" w:rsidP="00007A21" w:rsidRDefault="002F64C9" w14:paraId="5BD53A59" w14:textId="77777777">
      <w:pPr>
        <w:rPr>
          <w:rFonts w:ascii="Arial" w:hAnsi="Arial" w:cs="Arial"/>
        </w:rPr>
      </w:pPr>
      <w:r>
        <w:rPr>
          <w:rFonts w:ascii="Arial" w:hAnsi="Arial" w:cs="Arial"/>
        </w:rPr>
        <w:t xml:space="preserve">As well as the </w:t>
      </w:r>
      <w:r w:rsidR="00DA5CD6">
        <w:rPr>
          <w:rFonts w:ascii="Arial" w:hAnsi="Arial" w:cs="Arial"/>
        </w:rPr>
        <w:t>aforementioned,</w:t>
      </w:r>
      <w:r>
        <w:rPr>
          <w:rFonts w:ascii="Arial" w:hAnsi="Arial" w:cs="Arial"/>
        </w:rPr>
        <w:t xml:space="preserve"> the government published a new statutory Homelessness Code of </w:t>
      </w:r>
      <w:r w:rsidR="00DA5CD6">
        <w:rPr>
          <w:rFonts w:ascii="Arial" w:hAnsi="Arial" w:cs="Arial"/>
        </w:rPr>
        <w:t>Guidance, which</w:t>
      </w:r>
      <w:r>
        <w:rPr>
          <w:rFonts w:ascii="Arial" w:hAnsi="Arial" w:cs="Arial"/>
        </w:rPr>
        <w:t xml:space="preserve"> we as local housing authorities must have regard.</w:t>
      </w:r>
    </w:p>
    <w:p w:rsidR="00E054B4" w:rsidP="00007A21" w:rsidRDefault="00E054B4" w14:paraId="1E2C55BB" w14:textId="77777777">
      <w:pPr>
        <w:rPr>
          <w:rFonts w:ascii="Arial" w:hAnsi="Arial" w:cs="Arial"/>
        </w:rPr>
      </w:pPr>
    </w:p>
    <w:p w:rsidR="002F64C9" w:rsidP="005A7CF0" w:rsidRDefault="00795650" w14:paraId="25E1A1E7" w14:textId="77777777">
      <w:pPr>
        <w:pStyle w:val="GNHS3"/>
      </w:pPr>
      <w:r>
        <w:t>1.3</w:t>
      </w:r>
      <w:r>
        <w:tab/>
        <w:t>Duty to R</w:t>
      </w:r>
      <w:r w:rsidRPr="002F64C9" w:rsidR="002F64C9">
        <w:t>efer</w:t>
      </w:r>
    </w:p>
    <w:p w:rsidR="002F64C9" w:rsidP="00007A21" w:rsidRDefault="002F64C9" w14:paraId="5C0CF2E2" w14:textId="77777777">
      <w:pPr>
        <w:rPr>
          <w:rFonts w:ascii="Arial" w:hAnsi="Arial" w:cs="Arial"/>
          <w:b/>
        </w:rPr>
      </w:pPr>
    </w:p>
    <w:p w:rsidR="002F64C9" w:rsidP="00007A21" w:rsidRDefault="002F64C9" w14:paraId="77CEAB61" w14:textId="77777777">
      <w:pPr>
        <w:rPr>
          <w:rFonts w:ascii="Arial" w:hAnsi="Arial" w:cs="Arial"/>
        </w:rPr>
      </w:pPr>
      <w:r>
        <w:rPr>
          <w:rFonts w:ascii="Arial" w:hAnsi="Arial" w:cs="Arial"/>
        </w:rPr>
        <w:t>The HRA also brings in new duties to notify a local housing authority of service users they think may be homeless or at risk. This new duty has the potential to prevent more people from becoming homeless by encouraging public bodies to reduce and prevent homelessness.</w:t>
      </w:r>
    </w:p>
    <w:p w:rsidR="002F64C9" w:rsidP="00007A21" w:rsidRDefault="002F64C9" w14:paraId="4E919BED" w14:textId="77777777">
      <w:pPr>
        <w:rPr>
          <w:rFonts w:ascii="Arial" w:hAnsi="Arial" w:cs="Arial"/>
        </w:rPr>
      </w:pPr>
    </w:p>
    <w:p w:rsidR="002F64C9" w:rsidP="00007A21" w:rsidRDefault="00EB75EC" w14:paraId="4317BE52" w14:textId="77777777">
      <w:pPr>
        <w:rPr>
          <w:rFonts w:ascii="Arial" w:hAnsi="Arial" w:cs="Arial"/>
        </w:rPr>
      </w:pPr>
      <w:r>
        <w:rPr>
          <w:rFonts w:ascii="Arial" w:hAnsi="Arial" w:cs="Arial"/>
        </w:rPr>
        <w:t>In Greater Norwich alongside</w:t>
      </w:r>
      <w:r w:rsidR="002F64C9">
        <w:rPr>
          <w:rFonts w:ascii="Arial" w:hAnsi="Arial" w:cs="Arial"/>
        </w:rPr>
        <w:t xml:space="preserve"> partners we have looked to strengthen this approach </w:t>
      </w:r>
      <w:r w:rsidR="000618EA">
        <w:rPr>
          <w:rFonts w:ascii="Arial" w:hAnsi="Arial" w:cs="Arial"/>
        </w:rPr>
        <w:t>by leading</w:t>
      </w:r>
      <w:r w:rsidR="0063684B">
        <w:rPr>
          <w:rFonts w:ascii="Arial" w:hAnsi="Arial" w:cs="Arial"/>
        </w:rPr>
        <w:t xml:space="preserve"> and supporting</w:t>
      </w:r>
      <w:r w:rsidR="000618EA">
        <w:rPr>
          <w:rFonts w:ascii="Arial" w:hAnsi="Arial" w:cs="Arial"/>
        </w:rPr>
        <w:t xml:space="preserve"> work </w:t>
      </w:r>
      <w:r w:rsidR="00A1794D">
        <w:rPr>
          <w:rFonts w:ascii="Arial" w:hAnsi="Arial" w:cs="Arial"/>
        </w:rPr>
        <w:t>to produce a number of</w:t>
      </w:r>
      <w:r w:rsidR="002F64C9">
        <w:rPr>
          <w:rFonts w:ascii="Arial" w:hAnsi="Arial" w:cs="Arial"/>
        </w:rPr>
        <w:t xml:space="preserve"> protocol documents that sets out our commitment to prevent homelessness. These protocols are:</w:t>
      </w:r>
    </w:p>
    <w:p w:rsidR="002F64C9" w:rsidP="00007A21" w:rsidRDefault="002F64C9" w14:paraId="00ED26DC" w14:textId="77777777">
      <w:pPr>
        <w:rPr>
          <w:rFonts w:ascii="Arial" w:hAnsi="Arial" w:cs="Arial"/>
        </w:rPr>
      </w:pPr>
    </w:p>
    <w:p w:rsidRPr="000618EA" w:rsidR="002F64C9" w:rsidP="00616716" w:rsidRDefault="00795650" w14:paraId="24F87BF2" w14:textId="77777777">
      <w:pPr>
        <w:pStyle w:val="ListParagraph"/>
        <w:numPr>
          <w:ilvl w:val="0"/>
          <w:numId w:val="25"/>
        </w:numPr>
        <w:rPr>
          <w:rFonts w:ascii="Arial" w:hAnsi="Arial" w:cs="Arial"/>
        </w:rPr>
      </w:pPr>
      <w:r>
        <w:rPr>
          <w:rFonts w:ascii="Arial" w:hAnsi="Arial" w:cs="Arial"/>
        </w:rPr>
        <w:t>Greater Norwich &amp; Breckland Criminal Justice Homelessness Prevention P</w:t>
      </w:r>
      <w:r w:rsidRPr="000618EA" w:rsidR="002F64C9">
        <w:rPr>
          <w:rFonts w:ascii="Arial" w:hAnsi="Arial" w:cs="Arial"/>
        </w:rPr>
        <w:t>rotocol</w:t>
      </w:r>
    </w:p>
    <w:p w:rsidR="00151061" w:rsidP="00616716" w:rsidRDefault="00151061" w14:paraId="6BB7CB54" w14:textId="77777777">
      <w:pPr>
        <w:pStyle w:val="ListParagraph"/>
        <w:numPr>
          <w:ilvl w:val="0"/>
          <w:numId w:val="25"/>
        </w:numPr>
        <w:rPr>
          <w:rFonts w:ascii="Arial" w:hAnsi="Arial" w:cs="Arial"/>
        </w:rPr>
      </w:pPr>
      <w:r>
        <w:rPr>
          <w:rFonts w:ascii="Arial" w:hAnsi="Arial" w:cs="Arial"/>
        </w:rPr>
        <w:t>Joint Protocol to Address the Needs of Homeless Young People in Norfolk</w:t>
      </w:r>
    </w:p>
    <w:p w:rsidRPr="00A24FDF" w:rsidR="00A1794D" w:rsidP="00616716" w:rsidRDefault="00A1794D" w14:paraId="050047BF" w14:textId="77777777">
      <w:pPr>
        <w:pStyle w:val="ListParagraph"/>
        <w:numPr>
          <w:ilvl w:val="0"/>
          <w:numId w:val="25"/>
        </w:numPr>
        <w:rPr>
          <w:rFonts w:ascii="Arial" w:hAnsi="Arial" w:cs="Arial"/>
        </w:rPr>
      </w:pPr>
      <w:r>
        <w:rPr>
          <w:rFonts w:ascii="Arial" w:hAnsi="Arial" w:cs="Arial"/>
        </w:rPr>
        <w:t>Proposed Norfolk Mental Health Hospital D</w:t>
      </w:r>
      <w:r w:rsidRPr="000618EA">
        <w:rPr>
          <w:rFonts w:ascii="Arial" w:hAnsi="Arial" w:cs="Arial"/>
        </w:rPr>
        <w:t xml:space="preserve">ischarge </w:t>
      </w:r>
      <w:r>
        <w:rPr>
          <w:rFonts w:ascii="Arial" w:hAnsi="Arial" w:cs="Arial"/>
        </w:rPr>
        <w:t>and Homelessness Prevention P</w:t>
      </w:r>
      <w:r w:rsidRPr="000618EA">
        <w:rPr>
          <w:rFonts w:ascii="Arial" w:hAnsi="Arial" w:cs="Arial"/>
        </w:rPr>
        <w:t>rotocol</w:t>
      </w:r>
    </w:p>
    <w:p w:rsidR="00FE6A7C" w:rsidP="00007A21" w:rsidRDefault="00FE6A7C" w14:paraId="76CD2DBF" w14:textId="77777777">
      <w:pPr>
        <w:rPr>
          <w:rFonts w:ascii="Arial" w:hAnsi="Arial" w:cs="Arial"/>
        </w:rPr>
      </w:pPr>
    </w:p>
    <w:p w:rsidRPr="000A071C" w:rsidR="000618EA" w:rsidP="00007A21" w:rsidRDefault="0063684B" w14:paraId="3860DD8A" w14:textId="77777777">
      <w:pPr>
        <w:rPr>
          <w:rFonts w:ascii="Arial" w:hAnsi="Arial" w:cs="Arial"/>
        </w:rPr>
      </w:pPr>
      <w:r w:rsidRPr="000A071C">
        <w:rPr>
          <w:rFonts w:ascii="Arial" w:hAnsi="Arial" w:cs="Arial"/>
        </w:rPr>
        <w:t>Through this strategy we will commit to en</w:t>
      </w:r>
      <w:r w:rsidRPr="000A071C" w:rsidR="00D71E4C">
        <w:rPr>
          <w:rFonts w:ascii="Arial" w:hAnsi="Arial" w:cs="Arial"/>
        </w:rPr>
        <w:t>suring that these protocols are successful</w:t>
      </w:r>
      <w:r w:rsidRPr="000A071C" w:rsidR="00B75B2B">
        <w:rPr>
          <w:rFonts w:ascii="Arial" w:hAnsi="Arial" w:cs="Arial"/>
        </w:rPr>
        <w:t>, that we are working sooner with individuals and other org</w:t>
      </w:r>
      <w:r w:rsidRPr="000A071C" w:rsidR="00505786">
        <w:rPr>
          <w:rFonts w:ascii="Arial" w:hAnsi="Arial" w:cs="Arial"/>
        </w:rPr>
        <w:t>an</w:t>
      </w:r>
      <w:r w:rsidRPr="000A071C" w:rsidR="00B75B2B">
        <w:rPr>
          <w:rFonts w:ascii="Arial" w:hAnsi="Arial" w:cs="Arial"/>
        </w:rPr>
        <w:t>isations to</w:t>
      </w:r>
      <w:r w:rsidRPr="000A071C" w:rsidR="00D71E4C">
        <w:rPr>
          <w:rFonts w:ascii="Arial" w:hAnsi="Arial" w:cs="Arial"/>
        </w:rPr>
        <w:t xml:space="preserve"> help stop homelessness before it begins.</w:t>
      </w:r>
    </w:p>
    <w:p w:rsidRPr="000A071C" w:rsidR="009757FE" w:rsidP="00007A21" w:rsidRDefault="009757FE" w14:paraId="771FD95C" w14:textId="77777777">
      <w:pPr>
        <w:rPr>
          <w:rFonts w:ascii="Arial" w:hAnsi="Arial" w:cs="Arial"/>
        </w:rPr>
      </w:pPr>
    </w:p>
    <w:p w:rsidRPr="000A071C" w:rsidR="009757FE" w:rsidP="00007A21" w:rsidRDefault="009757FE" w14:paraId="1BE2A3A6" w14:textId="77777777">
      <w:pPr>
        <w:rPr>
          <w:rFonts w:ascii="Arial" w:hAnsi="Arial" w:cs="Arial"/>
        </w:rPr>
      </w:pPr>
      <w:r w:rsidRPr="000A071C">
        <w:rPr>
          <w:rFonts w:ascii="Arial" w:hAnsi="Arial" w:cs="Arial"/>
        </w:rPr>
        <w:t xml:space="preserve">In addition to this we are committed to improving the pathway for people </w:t>
      </w:r>
      <w:r w:rsidRPr="000A071C" w:rsidR="00DA5ABC">
        <w:rPr>
          <w:rFonts w:ascii="Arial" w:hAnsi="Arial" w:cs="Arial"/>
        </w:rPr>
        <w:t xml:space="preserve">who are homeless </w:t>
      </w:r>
      <w:r w:rsidRPr="000A071C">
        <w:rPr>
          <w:rFonts w:ascii="Arial" w:hAnsi="Arial" w:cs="Arial"/>
        </w:rPr>
        <w:t>leaving</w:t>
      </w:r>
      <w:r w:rsidRPr="000A071C" w:rsidR="00B75B2B">
        <w:rPr>
          <w:rFonts w:ascii="Arial" w:hAnsi="Arial" w:cs="Arial"/>
        </w:rPr>
        <w:t xml:space="preserve"> hospital settings such as</w:t>
      </w:r>
      <w:r w:rsidRPr="000A071C">
        <w:rPr>
          <w:rFonts w:ascii="Arial" w:hAnsi="Arial" w:cs="Arial"/>
        </w:rPr>
        <w:t xml:space="preserve"> </w:t>
      </w:r>
      <w:r w:rsidRPr="000A071C" w:rsidR="00DA5ABC">
        <w:rPr>
          <w:rFonts w:ascii="Arial" w:hAnsi="Arial" w:cs="Arial"/>
        </w:rPr>
        <w:t>the Norfolk and Norwich University hospital</w:t>
      </w:r>
      <w:r w:rsidRPr="000A071C" w:rsidR="00B75B2B">
        <w:rPr>
          <w:rFonts w:ascii="Arial" w:hAnsi="Arial" w:cs="Arial"/>
        </w:rPr>
        <w:t xml:space="preserve"> and Hellesdon Hospital</w:t>
      </w:r>
      <w:r w:rsidRPr="000A071C">
        <w:rPr>
          <w:rFonts w:ascii="Arial" w:hAnsi="Arial" w:cs="Arial"/>
        </w:rPr>
        <w:t xml:space="preserve"> and will a</w:t>
      </w:r>
      <w:r w:rsidRPr="000A071C" w:rsidR="00EB75EC">
        <w:rPr>
          <w:rFonts w:ascii="Arial" w:hAnsi="Arial" w:cs="Arial"/>
        </w:rPr>
        <w:t>ctively support</w:t>
      </w:r>
      <w:r w:rsidRPr="000A071C" w:rsidR="00B75B2B">
        <w:rPr>
          <w:rFonts w:ascii="Arial" w:hAnsi="Arial" w:cs="Arial"/>
        </w:rPr>
        <w:t xml:space="preserve"> and promote</w:t>
      </w:r>
      <w:r w:rsidRPr="000A071C" w:rsidR="00EB75EC">
        <w:rPr>
          <w:rFonts w:ascii="Arial" w:hAnsi="Arial" w:cs="Arial"/>
        </w:rPr>
        <w:t xml:space="preserve"> </w:t>
      </w:r>
      <w:r w:rsidRPr="000A071C" w:rsidR="00B75B2B">
        <w:rPr>
          <w:rFonts w:ascii="Arial" w:hAnsi="Arial" w:cs="Arial"/>
        </w:rPr>
        <w:t xml:space="preserve">the long term implementation of </w:t>
      </w:r>
      <w:r w:rsidRPr="000A071C" w:rsidR="00EB75EC">
        <w:rPr>
          <w:rFonts w:ascii="Arial" w:hAnsi="Arial" w:cs="Arial"/>
        </w:rPr>
        <w:t>initiatives such as</w:t>
      </w:r>
      <w:r w:rsidRPr="000A071C">
        <w:rPr>
          <w:rFonts w:ascii="Arial" w:hAnsi="Arial" w:cs="Arial"/>
        </w:rPr>
        <w:t xml:space="preserve"> District Direct</w:t>
      </w:r>
      <w:r w:rsidRPr="000A071C" w:rsidR="00DA5ABC">
        <w:rPr>
          <w:rFonts w:ascii="Arial" w:hAnsi="Arial" w:cs="Arial"/>
        </w:rPr>
        <w:t xml:space="preserve"> through the actions in this strategy.</w:t>
      </w:r>
    </w:p>
    <w:p w:rsidR="009757FE" w:rsidP="00007A21" w:rsidRDefault="009757FE" w14:paraId="60ACC948" w14:textId="77777777">
      <w:pPr>
        <w:rPr>
          <w:rFonts w:ascii="Arial" w:hAnsi="Arial" w:cs="Arial"/>
        </w:rPr>
      </w:pPr>
    </w:p>
    <w:p w:rsidRPr="00F3014F" w:rsidR="009757FE" w:rsidP="005A7CF0" w:rsidRDefault="00795650" w14:paraId="5FB2AEEA" w14:textId="77777777">
      <w:pPr>
        <w:pStyle w:val="GNHS2"/>
        <w:numPr>
          <w:ilvl w:val="0"/>
          <w:numId w:val="37"/>
        </w:numPr>
      </w:pPr>
      <w:r w:rsidRPr="00F3014F">
        <w:t>National</w:t>
      </w:r>
      <w:r w:rsidRPr="00F3014F" w:rsidR="005E547A">
        <w:t xml:space="preserve"> and Local</w:t>
      </w:r>
      <w:r w:rsidRPr="00F3014F">
        <w:t xml:space="preserve"> Picture of Housing M</w:t>
      </w:r>
      <w:r w:rsidRPr="00F3014F" w:rsidR="0084479C">
        <w:t>arket</w:t>
      </w:r>
    </w:p>
    <w:p w:rsidR="0084479C" w:rsidP="00007A21" w:rsidRDefault="0084479C" w14:paraId="64ED2617" w14:textId="77777777">
      <w:pPr>
        <w:rPr>
          <w:rFonts w:ascii="Arial" w:hAnsi="Arial" w:cs="Arial"/>
        </w:rPr>
      </w:pPr>
    </w:p>
    <w:p w:rsidR="0084479C" w:rsidP="00007A21" w:rsidRDefault="0084479C" w14:paraId="78DB2D73" w14:textId="77777777">
      <w:pPr>
        <w:rPr>
          <w:rFonts w:ascii="Arial" w:hAnsi="Arial" w:cs="Arial"/>
        </w:rPr>
      </w:pPr>
      <w:r>
        <w:rPr>
          <w:rFonts w:ascii="Arial" w:hAnsi="Arial" w:cs="Arial"/>
        </w:rPr>
        <w:lastRenderedPageBreak/>
        <w:t>Nationally and locally the housing market has been surrounded by uncertainty caused by the following factors:</w:t>
      </w:r>
    </w:p>
    <w:p w:rsidR="0084479C" w:rsidP="00007A21" w:rsidRDefault="0084479C" w14:paraId="0B6B809A" w14:textId="77777777">
      <w:pPr>
        <w:rPr>
          <w:rFonts w:ascii="Arial" w:hAnsi="Arial" w:cs="Arial"/>
        </w:rPr>
      </w:pPr>
    </w:p>
    <w:p w:rsidRPr="0084479C" w:rsidR="0084479C" w:rsidP="00616716" w:rsidRDefault="0084479C" w14:paraId="3631561C" w14:textId="77777777">
      <w:pPr>
        <w:pStyle w:val="ListParagraph"/>
        <w:numPr>
          <w:ilvl w:val="0"/>
          <w:numId w:val="26"/>
        </w:numPr>
        <w:rPr>
          <w:rFonts w:ascii="Arial" w:hAnsi="Arial" w:cs="Arial"/>
        </w:rPr>
      </w:pPr>
      <w:r w:rsidRPr="0084479C">
        <w:rPr>
          <w:rFonts w:ascii="Arial" w:hAnsi="Arial" w:cs="Arial"/>
        </w:rPr>
        <w:t>Affordability issues</w:t>
      </w:r>
    </w:p>
    <w:p w:rsidRPr="0084479C" w:rsidR="0084479C" w:rsidP="00616716" w:rsidRDefault="00795650" w14:paraId="1DC13290" w14:textId="77777777">
      <w:pPr>
        <w:pStyle w:val="ListParagraph"/>
        <w:numPr>
          <w:ilvl w:val="0"/>
          <w:numId w:val="26"/>
        </w:numPr>
        <w:rPr>
          <w:rFonts w:ascii="Arial" w:hAnsi="Arial" w:cs="Arial"/>
        </w:rPr>
      </w:pPr>
      <w:r>
        <w:rPr>
          <w:rFonts w:ascii="Arial" w:hAnsi="Arial" w:cs="Arial"/>
        </w:rPr>
        <w:t xml:space="preserve">Lack of </w:t>
      </w:r>
      <w:r w:rsidR="00007A21">
        <w:rPr>
          <w:rFonts w:ascii="Arial" w:hAnsi="Arial" w:cs="Arial"/>
        </w:rPr>
        <w:t>s</w:t>
      </w:r>
      <w:r w:rsidRPr="0084479C" w:rsidR="0084479C">
        <w:rPr>
          <w:rFonts w:ascii="Arial" w:hAnsi="Arial" w:cs="Arial"/>
        </w:rPr>
        <w:t>tock</w:t>
      </w:r>
    </w:p>
    <w:p w:rsidRPr="0084479C" w:rsidR="0084479C" w:rsidP="00616716" w:rsidRDefault="0084479C" w14:paraId="17BD6F3E" w14:textId="77777777">
      <w:pPr>
        <w:pStyle w:val="ListParagraph"/>
        <w:numPr>
          <w:ilvl w:val="0"/>
          <w:numId w:val="26"/>
        </w:numPr>
        <w:rPr>
          <w:rFonts w:ascii="Arial" w:hAnsi="Arial" w:cs="Arial"/>
        </w:rPr>
      </w:pPr>
      <w:r w:rsidRPr="0084479C">
        <w:rPr>
          <w:rFonts w:ascii="Arial" w:hAnsi="Arial" w:cs="Arial"/>
        </w:rPr>
        <w:t>Continuing political uncertainty</w:t>
      </w:r>
    </w:p>
    <w:p w:rsidRPr="0084479C" w:rsidR="0084479C" w:rsidP="00616716" w:rsidRDefault="0084479C" w14:paraId="59616873" w14:textId="77777777">
      <w:pPr>
        <w:pStyle w:val="ListParagraph"/>
        <w:numPr>
          <w:ilvl w:val="0"/>
          <w:numId w:val="26"/>
        </w:numPr>
        <w:rPr>
          <w:rFonts w:ascii="Arial" w:hAnsi="Arial" w:cs="Arial"/>
        </w:rPr>
      </w:pPr>
      <w:r w:rsidRPr="0084479C">
        <w:rPr>
          <w:rFonts w:ascii="Arial" w:hAnsi="Arial" w:cs="Arial"/>
        </w:rPr>
        <w:t>Fears of interest rate rises</w:t>
      </w:r>
      <w:r w:rsidRPr="00D21028">
        <w:rPr>
          <w:rStyle w:val="FootnoteReference"/>
          <w:rFonts w:ascii="Arial" w:hAnsi="Arial" w:cs="Arial"/>
          <w:sz w:val="16"/>
          <w:szCs w:val="16"/>
        </w:rPr>
        <w:footnoteReference w:id="3"/>
      </w:r>
    </w:p>
    <w:p w:rsidR="0084479C" w:rsidP="00007A21" w:rsidRDefault="0084479C" w14:paraId="08F0F632" w14:textId="77777777">
      <w:pPr>
        <w:rPr>
          <w:rFonts w:ascii="Arial" w:hAnsi="Arial" w:cs="Arial"/>
        </w:rPr>
      </w:pPr>
    </w:p>
    <w:p w:rsidR="0084479C" w:rsidP="00007A21" w:rsidRDefault="004E6D0F" w14:paraId="1F219DA7" w14:textId="77777777">
      <w:pPr>
        <w:rPr>
          <w:rFonts w:ascii="Arial" w:hAnsi="Arial" w:cs="Arial"/>
        </w:rPr>
      </w:pPr>
      <w:r>
        <w:rPr>
          <w:rFonts w:ascii="Arial" w:hAnsi="Arial" w:cs="Arial"/>
        </w:rPr>
        <w:t xml:space="preserve">The government (in 2018) committed itself to a target of delivering an additional 300,000 homes up to the mid-2020s. This target is short of the 340,000 units per year (for fifteen years) that the National Housing Federation (NHF) and Crisis </w:t>
      </w:r>
      <w:r w:rsidR="00916AEC">
        <w:rPr>
          <w:rFonts w:ascii="Arial" w:hAnsi="Arial" w:cs="Arial"/>
        </w:rPr>
        <w:t xml:space="preserve">study </w:t>
      </w:r>
      <w:r>
        <w:rPr>
          <w:rFonts w:ascii="Arial" w:hAnsi="Arial" w:cs="Arial"/>
        </w:rPr>
        <w:t xml:space="preserve">projected that </w:t>
      </w:r>
      <w:r w:rsidR="00F96D2C">
        <w:rPr>
          <w:rFonts w:ascii="Arial" w:hAnsi="Arial" w:cs="Arial"/>
        </w:rPr>
        <w:t>are required</w:t>
      </w:r>
      <w:r>
        <w:rPr>
          <w:rFonts w:ascii="Arial" w:hAnsi="Arial" w:cs="Arial"/>
        </w:rPr>
        <w:t xml:space="preserve"> to meet housing need. The actual number of net additional dwellings delivered over the past six years is </w:t>
      </w:r>
      <w:r w:rsidR="00BF0EF6">
        <w:rPr>
          <w:rFonts w:ascii="Arial" w:hAnsi="Arial" w:cs="Arial"/>
        </w:rPr>
        <w:t>significantly</w:t>
      </w:r>
      <w:r>
        <w:rPr>
          <w:rFonts w:ascii="Arial" w:hAnsi="Arial" w:cs="Arial"/>
        </w:rPr>
        <w:t xml:space="preserve"> short of the</w:t>
      </w:r>
      <w:r w:rsidR="00BF0EF6">
        <w:rPr>
          <w:rFonts w:ascii="Arial" w:hAnsi="Arial" w:cs="Arial"/>
        </w:rPr>
        <w:t>se</w:t>
      </w:r>
      <w:r>
        <w:rPr>
          <w:rFonts w:ascii="Arial" w:hAnsi="Arial" w:cs="Arial"/>
        </w:rPr>
        <w:t xml:space="preserve"> forecast</w:t>
      </w:r>
      <w:r w:rsidR="00BF0EF6">
        <w:rPr>
          <w:rFonts w:ascii="Arial" w:hAnsi="Arial" w:cs="Arial"/>
        </w:rPr>
        <w:t>s showing that meeting the required number of homes will be difficult to achieve in the future if the current housing market conditions continue.</w:t>
      </w:r>
    </w:p>
    <w:p w:rsidR="0084479C" w:rsidP="002F64C9" w:rsidRDefault="0084479C" w14:paraId="67A9E010" w14:textId="77777777">
      <w:pPr>
        <w:rPr>
          <w:rFonts w:ascii="Arial" w:hAnsi="Arial" w:cs="Arial"/>
        </w:rPr>
      </w:pPr>
    </w:p>
    <w:p w:rsidR="00E71304" w:rsidP="002F64C9" w:rsidRDefault="00E71304" w14:paraId="7B05C231" w14:textId="77777777">
      <w:pPr>
        <w:rPr>
          <w:rFonts w:ascii="Arial" w:hAnsi="Arial" w:cs="Arial"/>
        </w:rPr>
      </w:pPr>
      <w:r>
        <w:rPr>
          <w:noProof/>
        </w:rPr>
        <w:drawing>
          <wp:inline distT="0" distB="0" distL="0" distR="0" wp14:anchorId="2F8764F5" wp14:editId="7838D2EF">
            <wp:extent cx="4876800" cy="3076880"/>
            <wp:effectExtent l="0" t="0" r="0" b="9525"/>
            <wp:docPr id="5" name="Picture 5" descr="Graph showing net additional dwellings in England 2012/2013 to 2017/18&#10;Steady increase in dwellings from 125,000 in 2012/13 to 220,000 in 2017/18" title="Net Additional Dwellings England 2012 t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1235" t="28224" r="35938" b="34954"/>
                    <a:stretch/>
                  </pic:blipFill>
                  <pic:spPr bwMode="auto">
                    <a:xfrm>
                      <a:off x="0" y="0"/>
                      <a:ext cx="4893842" cy="3087632"/>
                    </a:xfrm>
                    <a:prstGeom prst="rect">
                      <a:avLst/>
                    </a:prstGeom>
                    <a:ln>
                      <a:noFill/>
                    </a:ln>
                    <a:extLst>
                      <a:ext uri="{53640926-AAD7-44D8-BBD7-CCE9431645EC}">
                        <a14:shadowObscured xmlns:a14="http://schemas.microsoft.com/office/drawing/2010/main"/>
                      </a:ext>
                    </a:extLst>
                  </pic:spPr>
                </pic:pic>
              </a:graphicData>
            </a:graphic>
          </wp:inline>
        </w:drawing>
      </w:r>
    </w:p>
    <w:p w:rsidRPr="002F64C9" w:rsidR="00E71304" w:rsidP="002F64C9" w:rsidRDefault="00E71304" w14:paraId="26F7BFB9" w14:textId="77777777">
      <w:pPr>
        <w:rPr>
          <w:rFonts w:ascii="Arial" w:hAnsi="Arial" w:cs="Arial"/>
        </w:rPr>
      </w:pPr>
    </w:p>
    <w:p w:rsidR="009B6333" w:rsidP="008479CD" w:rsidRDefault="004909AB" w14:paraId="0982E1AB" w14:textId="77777777">
      <w:pPr>
        <w:pStyle w:val="GNHS3"/>
      </w:pPr>
      <w:r>
        <w:t>2.1</w:t>
      </w:r>
      <w:r>
        <w:tab/>
        <w:t>Greater Norwich Housing M</w:t>
      </w:r>
      <w:r w:rsidRPr="006E6128" w:rsidR="006E6128">
        <w:t>arket</w:t>
      </w:r>
    </w:p>
    <w:p w:rsidR="004909AB" w:rsidP="00007A21" w:rsidRDefault="004909AB" w14:paraId="7D181F34" w14:textId="77777777">
      <w:pPr>
        <w:rPr>
          <w:rFonts w:ascii="Arial" w:hAnsi="Arial" w:cs="Arial"/>
          <w:b/>
        </w:rPr>
      </w:pPr>
    </w:p>
    <w:p w:rsidR="003562CF" w:rsidP="00007A21" w:rsidRDefault="003562CF" w14:paraId="2172160A" w14:textId="77777777">
      <w:pPr>
        <w:rPr>
          <w:rFonts w:ascii="Arial" w:hAnsi="Arial" w:cs="Arial"/>
        </w:rPr>
      </w:pPr>
      <w:r w:rsidRPr="003562CF">
        <w:rPr>
          <w:rFonts w:ascii="Arial" w:hAnsi="Arial" w:cs="Arial"/>
        </w:rPr>
        <w:t>UK house prices</w:t>
      </w:r>
      <w:r>
        <w:rPr>
          <w:rFonts w:ascii="Arial" w:hAnsi="Arial" w:cs="Arial"/>
        </w:rPr>
        <w:t xml:space="preserve"> grew by 0.7% in the year to July 2019</w:t>
      </w:r>
      <w:r w:rsidRPr="000145ED" w:rsidR="009E2AB1">
        <w:rPr>
          <w:rStyle w:val="FootnoteReference"/>
          <w:rFonts w:ascii="Arial" w:hAnsi="Arial" w:cs="Arial"/>
          <w:sz w:val="16"/>
          <w:szCs w:val="16"/>
        </w:rPr>
        <w:footnoteReference w:id="4"/>
      </w:r>
      <w:r>
        <w:rPr>
          <w:rFonts w:ascii="Arial" w:hAnsi="Arial" w:cs="Arial"/>
        </w:rPr>
        <w:t>.</w:t>
      </w:r>
      <w:r w:rsidR="00E67C3E">
        <w:rPr>
          <w:rFonts w:ascii="Arial" w:hAnsi="Arial" w:cs="Arial"/>
        </w:rPr>
        <w:t xml:space="preserve"> In Greater Norwich we have seen larger increases in the average house price of 1.06%, 2.93%, and 2.30% in Norwich, South Norfolk an</w:t>
      </w:r>
      <w:r w:rsidR="005433DA">
        <w:rPr>
          <w:rFonts w:ascii="Arial" w:hAnsi="Arial" w:cs="Arial"/>
        </w:rPr>
        <w:t>d Broadland respectively</w:t>
      </w:r>
      <w:r w:rsidR="00E67C3E">
        <w:rPr>
          <w:rFonts w:ascii="Arial" w:hAnsi="Arial" w:cs="Arial"/>
        </w:rPr>
        <w:t xml:space="preserve"> pricing more people out of the housing market.</w:t>
      </w:r>
    </w:p>
    <w:p w:rsidR="00CE7E42" w:rsidP="00B064B2" w:rsidRDefault="00CE7E42" w14:paraId="30C432C2" w14:textId="77777777">
      <w:pPr>
        <w:rPr>
          <w:rFonts w:ascii="Arial" w:hAnsi="Arial" w:cs="Arial"/>
        </w:rPr>
      </w:pPr>
    </w:p>
    <w:tbl>
      <w:tblPr>
        <w:tblStyle w:val="TableGrid"/>
        <w:tblW w:w="0" w:type="auto"/>
        <w:tblLook w:val="04A0" w:firstRow="1" w:lastRow="0" w:firstColumn="1" w:lastColumn="0" w:noHBand="0" w:noVBand="1"/>
        <w:tblCaption w:val="House Prices for July 2018 and 2019"/>
        <w:tblDescription w:val="Table of average house prices for Broadland, Norwich, South Norfolk and UK in July 2018 and 2019."/>
      </w:tblPr>
      <w:tblGrid>
        <w:gridCol w:w="1642"/>
        <w:gridCol w:w="1663"/>
        <w:gridCol w:w="1663"/>
        <w:gridCol w:w="1664"/>
        <w:gridCol w:w="1664"/>
      </w:tblGrid>
      <w:tr w:rsidR="009E2AB1" w:rsidTr="00700C37" w14:paraId="41836795" w14:textId="77777777">
        <w:trPr>
          <w:cantSplit/>
          <w:tblHeader/>
        </w:trPr>
        <w:tc>
          <w:tcPr>
            <w:tcW w:w="1642" w:type="dxa"/>
            <w:shd w:val="clear" w:color="auto" w:fill="F2F2F2" w:themeFill="background1" w:themeFillShade="F2"/>
          </w:tcPr>
          <w:p w:rsidRPr="009E2AB1" w:rsidR="009E2AB1" w:rsidP="00B064B2" w:rsidRDefault="009E2AB1" w14:paraId="71DC0DFF" w14:textId="77777777">
            <w:pPr>
              <w:rPr>
                <w:rFonts w:ascii="Arial" w:hAnsi="Arial" w:cs="Arial"/>
                <w:b/>
              </w:rPr>
            </w:pPr>
            <w:r w:rsidRPr="009E2AB1">
              <w:rPr>
                <w:rFonts w:ascii="Arial" w:hAnsi="Arial" w:cs="Arial"/>
                <w:b/>
              </w:rPr>
              <w:t>Period</w:t>
            </w:r>
          </w:p>
        </w:tc>
        <w:tc>
          <w:tcPr>
            <w:tcW w:w="1663" w:type="dxa"/>
            <w:shd w:val="clear" w:color="auto" w:fill="F2F2F2" w:themeFill="background1" w:themeFillShade="F2"/>
          </w:tcPr>
          <w:p w:rsidRPr="009E2AB1" w:rsidR="009E2AB1" w:rsidP="00B064B2" w:rsidRDefault="009E2AB1" w14:paraId="2211E174" w14:textId="77777777">
            <w:pPr>
              <w:rPr>
                <w:rFonts w:ascii="Arial" w:hAnsi="Arial" w:cs="Arial"/>
                <w:b/>
              </w:rPr>
            </w:pPr>
            <w:r w:rsidRPr="009E2AB1">
              <w:rPr>
                <w:rFonts w:ascii="Arial" w:hAnsi="Arial" w:cs="Arial"/>
                <w:b/>
              </w:rPr>
              <w:t>BDC</w:t>
            </w:r>
          </w:p>
        </w:tc>
        <w:tc>
          <w:tcPr>
            <w:tcW w:w="1663" w:type="dxa"/>
            <w:shd w:val="clear" w:color="auto" w:fill="F2F2F2" w:themeFill="background1" w:themeFillShade="F2"/>
          </w:tcPr>
          <w:p w:rsidRPr="009E2AB1" w:rsidR="009E2AB1" w:rsidP="00B064B2" w:rsidRDefault="009E2AB1" w14:paraId="2302F5AF" w14:textId="77777777">
            <w:pPr>
              <w:rPr>
                <w:rFonts w:ascii="Arial" w:hAnsi="Arial" w:cs="Arial"/>
                <w:b/>
              </w:rPr>
            </w:pPr>
            <w:r w:rsidRPr="009E2AB1">
              <w:rPr>
                <w:rFonts w:ascii="Arial" w:hAnsi="Arial" w:cs="Arial"/>
                <w:b/>
              </w:rPr>
              <w:t>NCC</w:t>
            </w:r>
          </w:p>
        </w:tc>
        <w:tc>
          <w:tcPr>
            <w:tcW w:w="1664" w:type="dxa"/>
            <w:shd w:val="clear" w:color="auto" w:fill="F2F2F2" w:themeFill="background1" w:themeFillShade="F2"/>
          </w:tcPr>
          <w:p w:rsidRPr="009E2AB1" w:rsidR="009E2AB1" w:rsidP="00B064B2" w:rsidRDefault="009E2AB1" w14:paraId="43980C8C" w14:textId="77777777">
            <w:pPr>
              <w:rPr>
                <w:rFonts w:ascii="Arial" w:hAnsi="Arial" w:cs="Arial"/>
                <w:b/>
              </w:rPr>
            </w:pPr>
            <w:r w:rsidRPr="009E2AB1">
              <w:rPr>
                <w:rFonts w:ascii="Arial" w:hAnsi="Arial" w:cs="Arial"/>
                <w:b/>
              </w:rPr>
              <w:t>SNC</w:t>
            </w:r>
          </w:p>
        </w:tc>
        <w:tc>
          <w:tcPr>
            <w:tcW w:w="1664" w:type="dxa"/>
            <w:shd w:val="clear" w:color="auto" w:fill="F2F2F2" w:themeFill="background1" w:themeFillShade="F2"/>
          </w:tcPr>
          <w:p w:rsidRPr="009E2AB1" w:rsidR="009E2AB1" w:rsidP="00B064B2" w:rsidRDefault="009E2AB1" w14:paraId="3B2625C2" w14:textId="77777777">
            <w:pPr>
              <w:rPr>
                <w:rFonts w:ascii="Arial" w:hAnsi="Arial" w:cs="Arial"/>
                <w:b/>
              </w:rPr>
            </w:pPr>
            <w:r w:rsidRPr="009E2AB1">
              <w:rPr>
                <w:rFonts w:ascii="Arial" w:hAnsi="Arial" w:cs="Arial"/>
                <w:b/>
              </w:rPr>
              <w:t>UK average</w:t>
            </w:r>
          </w:p>
        </w:tc>
      </w:tr>
      <w:tr w:rsidR="009E2AB1" w:rsidTr="00700C37" w14:paraId="20EF3436" w14:textId="77777777">
        <w:trPr>
          <w:cantSplit/>
        </w:trPr>
        <w:tc>
          <w:tcPr>
            <w:tcW w:w="1642" w:type="dxa"/>
          </w:tcPr>
          <w:p w:rsidR="009E2AB1" w:rsidP="00B064B2" w:rsidRDefault="009E2AB1" w14:paraId="69298C61" w14:textId="77777777">
            <w:pPr>
              <w:rPr>
                <w:rFonts w:ascii="Arial" w:hAnsi="Arial" w:cs="Arial"/>
              </w:rPr>
            </w:pPr>
            <w:r>
              <w:rPr>
                <w:rFonts w:ascii="Arial" w:hAnsi="Arial" w:cs="Arial"/>
              </w:rPr>
              <w:t>July 2018</w:t>
            </w:r>
          </w:p>
        </w:tc>
        <w:tc>
          <w:tcPr>
            <w:tcW w:w="1663" w:type="dxa"/>
          </w:tcPr>
          <w:p w:rsidR="009E2AB1" w:rsidP="00B064B2" w:rsidRDefault="009E2AB1" w14:paraId="79FB497D" w14:textId="77777777">
            <w:pPr>
              <w:rPr>
                <w:rFonts w:ascii="Arial" w:hAnsi="Arial" w:cs="Arial"/>
              </w:rPr>
            </w:pPr>
            <w:r>
              <w:rPr>
                <w:rFonts w:ascii="Arial" w:hAnsi="Arial" w:cs="Arial"/>
              </w:rPr>
              <w:t>£273,721</w:t>
            </w:r>
          </w:p>
        </w:tc>
        <w:tc>
          <w:tcPr>
            <w:tcW w:w="1663" w:type="dxa"/>
          </w:tcPr>
          <w:p w:rsidR="009E2AB1" w:rsidP="00B064B2" w:rsidRDefault="009E2AB1" w14:paraId="383F41F6" w14:textId="77777777">
            <w:pPr>
              <w:rPr>
                <w:rFonts w:ascii="Arial" w:hAnsi="Arial" w:cs="Arial"/>
              </w:rPr>
            </w:pPr>
            <w:r>
              <w:rPr>
                <w:rFonts w:ascii="Arial" w:hAnsi="Arial" w:cs="Arial"/>
              </w:rPr>
              <w:t>£226,359</w:t>
            </w:r>
          </w:p>
        </w:tc>
        <w:tc>
          <w:tcPr>
            <w:tcW w:w="1664" w:type="dxa"/>
          </w:tcPr>
          <w:p w:rsidR="009E2AB1" w:rsidP="00B064B2" w:rsidRDefault="009E2AB1" w14:paraId="6DD25674" w14:textId="77777777">
            <w:pPr>
              <w:rPr>
                <w:rFonts w:ascii="Arial" w:hAnsi="Arial" w:cs="Arial"/>
              </w:rPr>
            </w:pPr>
            <w:r>
              <w:rPr>
                <w:rFonts w:ascii="Arial" w:hAnsi="Arial" w:cs="Arial"/>
              </w:rPr>
              <w:t>£285,264</w:t>
            </w:r>
          </w:p>
        </w:tc>
        <w:tc>
          <w:tcPr>
            <w:tcW w:w="1664" w:type="dxa"/>
          </w:tcPr>
          <w:p w:rsidR="009E2AB1" w:rsidP="00B064B2" w:rsidRDefault="009E2AB1" w14:paraId="394B830C" w14:textId="77777777">
            <w:pPr>
              <w:rPr>
                <w:rFonts w:ascii="Arial" w:hAnsi="Arial" w:cs="Arial"/>
              </w:rPr>
            </w:pPr>
            <w:r>
              <w:rPr>
                <w:rFonts w:ascii="Arial" w:hAnsi="Arial" w:cs="Arial"/>
              </w:rPr>
              <w:t>£231,187</w:t>
            </w:r>
          </w:p>
        </w:tc>
      </w:tr>
      <w:tr w:rsidR="009E2AB1" w:rsidTr="00700C37" w14:paraId="02AE5FB2" w14:textId="77777777">
        <w:trPr>
          <w:cantSplit/>
        </w:trPr>
        <w:tc>
          <w:tcPr>
            <w:tcW w:w="1642" w:type="dxa"/>
          </w:tcPr>
          <w:p w:rsidR="009E2AB1" w:rsidP="00B064B2" w:rsidRDefault="009E2AB1" w14:paraId="13B2AEB9" w14:textId="77777777">
            <w:pPr>
              <w:rPr>
                <w:rFonts w:ascii="Arial" w:hAnsi="Arial" w:cs="Arial"/>
              </w:rPr>
            </w:pPr>
            <w:r>
              <w:rPr>
                <w:rFonts w:ascii="Arial" w:hAnsi="Arial" w:cs="Arial"/>
              </w:rPr>
              <w:t>July 2019</w:t>
            </w:r>
          </w:p>
        </w:tc>
        <w:tc>
          <w:tcPr>
            <w:tcW w:w="1663" w:type="dxa"/>
          </w:tcPr>
          <w:p w:rsidR="009E2AB1" w:rsidP="00B064B2" w:rsidRDefault="009E2AB1" w14:paraId="48E59E09" w14:textId="77777777">
            <w:pPr>
              <w:rPr>
                <w:rFonts w:ascii="Arial" w:hAnsi="Arial" w:cs="Arial"/>
              </w:rPr>
            </w:pPr>
            <w:r>
              <w:rPr>
                <w:rFonts w:ascii="Arial" w:hAnsi="Arial" w:cs="Arial"/>
              </w:rPr>
              <w:t>£280.022</w:t>
            </w:r>
          </w:p>
        </w:tc>
        <w:tc>
          <w:tcPr>
            <w:tcW w:w="1663" w:type="dxa"/>
          </w:tcPr>
          <w:p w:rsidR="009E2AB1" w:rsidP="00B064B2" w:rsidRDefault="009E2AB1" w14:paraId="2BECAD44" w14:textId="77777777">
            <w:pPr>
              <w:rPr>
                <w:rFonts w:ascii="Arial" w:hAnsi="Arial" w:cs="Arial"/>
              </w:rPr>
            </w:pPr>
            <w:r>
              <w:rPr>
                <w:rFonts w:ascii="Arial" w:hAnsi="Arial" w:cs="Arial"/>
              </w:rPr>
              <w:t>£228,773</w:t>
            </w:r>
          </w:p>
        </w:tc>
        <w:tc>
          <w:tcPr>
            <w:tcW w:w="1664" w:type="dxa"/>
          </w:tcPr>
          <w:p w:rsidR="009E2AB1" w:rsidP="00B064B2" w:rsidRDefault="009E2AB1" w14:paraId="31BFD60E" w14:textId="77777777">
            <w:pPr>
              <w:rPr>
                <w:rFonts w:ascii="Arial" w:hAnsi="Arial" w:cs="Arial"/>
              </w:rPr>
            </w:pPr>
            <w:r>
              <w:rPr>
                <w:rFonts w:ascii="Arial" w:hAnsi="Arial" w:cs="Arial"/>
              </w:rPr>
              <w:t>£293,633</w:t>
            </w:r>
          </w:p>
        </w:tc>
        <w:tc>
          <w:tcPr>
            <w:tcW w:w="1664" w:type="dxa"/>
          </w:tcPr>
          <w:p w:rsidR="009E2AB1" w:rsidP="00B064B2" w:rsidRDefault="009E2AB1" w14:paraId="2783B473" w14:textId="77777777">
            <w:pPr>
              <w:rPr>
                <w:rFonts w:ascii="Arial" w:hAnsi="Arial" w:cs="Arial"/>
              </w:rPr>
            </w:pPr>
            <w:r>
              <w:rPr>
                <w:rFonts w:ascii="Arial" w:hAnsi="Arial" w:cs="Arial"/>
              </w:rPr>
              <w:t>£232,710</w:t>
            </w:r>
          </w:p>
        </w:tc>
      </w:tr>
    </w:tbl>
    <w:p w:rsidRPr="008422DE" w:rsidR="006123F9" w:rsidP="00B064B2" w:rsidRDefault="004909AB" w14:paraId="7699E0D0" w14:textId="77777777">
      <w:pPr>
        <w:rPr>
          <w:rFonts w:ascii="Arial" w:hAnsi="Arial" w:cs="Arial"/>
          <w:sz w:val="16"/>
          <w:szCs w:val="16"/>
        </w:rPr>
      </w:pPr>
      <w:r w:rsidRPr="008422DE">
        <w:rPr>
          <w:rFonts w:ascii="Arial" w:hAnsi="Arial" w:cs="Arial"/>
          <w:sz w:val="16"/>
          <w:szCs w:val="16"/>
        </w:rPr>
        <w:t>Table 2</w:t>
      </w:r>
    </w:p>
    <w:p w:rsidRPr="00906FA0" w:rsidR="00906FA0" w:rsidP="00B064B2" w:rsidRDefault="00906FA0" w14:paraId="085291C4" w14:textId="77777777">
      <w:pPr>
        <w:rPr>
          <w:rFonts w:ascii="Arial" w:hAnsi="Arial" w:cs="Arial"/>
          <w:sz w:val="18"/>
          <w:szCs w:val="18"/>
        </w:rPr>
      </w:pPr>
    </w:p>
    <w:tbl>
      <w:tblPr>
        <w:tblStyle w:val="TableGrid"/>
        <w:tblW w:w="8359" w:type="dxa"/>
        <w:tblLook w:val="04A0" w:firstRow="1" w:lastRow="0" w:firstColumn="1" w:lastColumn="0" w:noHBand="0" w:noVBand="1"/>
        <w:tblCaption w:val="Table of House Prices to Earnings Ratio"/>
        <w:tblDescription w:val="Table showing housing price to earnings ration for Broadland, Norwich, South Norfolk districts and Eastern regions."/>
      </w:tblPr>
      <w:tblGrid>
        <w:gridCol w:w="1704"/>
        <w:gridCol w:w="1552"/>
        <w:gridCol w:w="1701"/>
        <w:gridCol w:w="1701"/>
        <w:gridCol w:w="1701"/>
      </w:tblGrid>
      <w:tr w:rsidR="006123F9" w:rsidTr="00700C37" w14:paraId="23643706" w14:textId="77777777">
        <w:trPr>
          <w:cantSplit/>
          <w:tblHeader/>
        </w:trPr>
        <w:tc>
          <w:tcPr>
            <w:tcW w:w="1704" w:type="dxa"/>
            <w:shd w:val="clear" w:color="auto" w:fill="F2F2F2" w:themeFill="background1" w:themeFillShade="F2"/>
          </w:tcPr>
          <w:p w:rsidRPr="00754807" w:rsidR="006123F9" w:rsidP="006123F9" w:rsidRDefault="006123F9" w14:paraId="62AEBC88" w14:textId="77777777">
            <w:pPr>
              <w:rPr>
                <w:rFonts w:ascii="Arial" w:hAnsi="Arial" w:cs="Arial"/>
                <w:b/>
              </w:rPr>
            </w:pPr>
            <w:r w:rsidRPr="00754807">
              <w:rPr>
                <w:rFonts w:ascii="Arial" w:hAnsi="Arial" w:cs="Arial"/>
                <w:b/>
              </w:rPr>
              <w:lastRenderedPageBreak/>
              <w:t>Measure</w:t>
            </w:r>
          </w:p>
        </w:tc>
        <w:tc>
          <w:tcPr>
            <w:tcW w:w="1552" w:type="dxa"/>
            <w:shd w:val="clear" w:color="auto" w:fill="F2F2F2" w:themeFill="background1" w:themeFillShade="F2"/>
          </w:tcPr>
          <w:p w:rsidRPr="00754807" w:rsidR="006123F9" w:rsidP="006123F9" w:rsidRDefault="006123F9" w14:paraId="64838D50" w14:textId="77777777">
            <w:pPr>
              <w:rPr>
                <w:rFonts w:ascii="Arial" w:hAnsi="Arial" w:cs="Arial"/>
                <w:b/>
              </w:rPr>
            </w:pPr>
            <w:r w:rsidRPr="00754807">
              <w:rPr>
                <w:rFonts w:ascii="Arial" w:hAnsi="Arial" w:cs="Arial"/>
                <w:b/>
              </w:rPr>
              <w:t>Broadland</w:t>
            </w:r>
          </w:p>
        </w:tc>
        <w:tc>
          <w:tcPr>
            <w:tcW w:w="1701" w:type="dxa"/>
            <w:shd w:val="clear" w:color="auto" w:fill="F2F2F2" w:themeFill="background1" w:themeFillShade="F2"/>
          </w:tcPr>
          <w:p w:rsidRPr="00754807" w:rsidR="006123F9" w:rsidP="006123F9" w:rsidRDefault="006123F9" w14:paraId="25D12316" w14:textId="77777777">
            <w:pPr>
              <w:rPr>
                <w:rFonts w:ascii="Arial" w:hAnsi="Arial" w:cs="Arial"/>
                <w:b/>
              </w:rPr>
            </w:pPr>
            <w:r w:rsidRPr="00754807">
              <w:rPr>
                <w:rFonts w:ascii="Arial" w:hAnsi="Arial" w:cs="Arial"/>
                <w:b/>
              </w:rPr>
              <w:t>Norwich</w:t>
            </w:r>
          </w:p>
        </w:tc>
        <w:tc>
          <w:tcPr>
            <w:tcW w:w="1701" w:type="dxa"/>
            <w:shd w:val="clear" w:color="auto" w:fill="F2F2F2" w:themeFill="background1" w:themeFillShade="F2"/>
          </w:tcPr>
          <w:p w:rsidRPr="00754807" w:rsidR="006123F9" w:rsidP="006123F9" w:rsidRDefault="006123F9" w14:paraId="633BC17B" w14:textId="77777777">
            <w:pPr>
              <w:rPr>
                <w:rFonts w:ascii="Arial" w:hAnsi="Arial" w:cs="Arial"/>
                <w:b/>
              </w:rPr>
            </w:pPr>
            <w:r w:rsidRPr="00754807">
              <w:rPr>
                <w:rFonts w:ascii="Arial" w:hAnsi="Arial" w:cs="Arial"/>
                <w:b/>
              </w:rPr>
              <w:t>South Norfolk</w:t>
            </w:r>
          </w:p>
        </w:tc>
        <w:tc>
          <w:tcPr>
            <w:tcW w:w="1701" w:type="dxa"/>
            <w:shd w:val="clear" w:color="auto" w:fill="F2F2F2" w:themeFill="background1" w:themeFillShade="F2"/>
          </w:tcPr>
          <w:p w:rsidRPr="00754807" w:rsidR="006123F9" w:rsidP="006123F9" w:rsidRDefault="006123F9" w14:paraId="067A7842" w14:textId="77777777">
            <w:pPr>
              <w:rPr>
                <w:rFonts w:ascii="Arial" w:hAnsi="Arial" w:cs="Arial"/>
                <w:b/>
              </w:rPr>
            </w:pPr>
            <w:r w:rsidRPr="00754807">
              <w:rPr>
                <w:rFonts w:ascii="Arial" w:hAnsi="Arial" w:cs="Arial"/>
                <w:b/>
              </w:rPr>
              <w:t>Eastern Region</w:t>
            </w:r>
          </w:p>
        </w:tc>
      </w:tr>
      <w:tr w:rsidR="006123F9" w:rsidTr="00700C37" w14:paraId="2D9DBA40" w14:textId="77777777">
        <w:trPr>
          <w:cantSplit/>
        </w:trPr>
        <w:tc>
          <w:tcPr>
            <w:tcW w:w="1704" w:type="dxa"/>
          </w:tcPr>
          <w:p w:rsidR="006123F9" w:rsidP="006123F9" w:rsidRDefault="006123F9" w14:paraId="569F99C0" w14:textId="77777777">
            <w:pPr>
              <w:rPr>
                <w:rFonts w:ascii="Arial" w:hAnsi="Arial" w:cs="Arial"/>
              </w:rPr>
            </w:pPr>
            <w:r>
              <w:rPr>
                <w:rFonts w:ascii="Arial" w:hAnsi="Arial" w:cs="Arial"/>
              </w:rPr>
              <w:t>House price to earnings ratio</w:t>
            </w:r>
            <w:r>
              <w:rPr>
                <w:rStyle w:val="FootnoteReference"/>
                <w:rFonts w:ascii="Arial" w:hAnsi="Arial" w:cs="Arial"/>
              </w:rPr>
              <w:footnoteReference w:id="5"/>
            </w:r>
          </w:p>
        </w:tc>
        <w:tc>
          <w:tcPr>
            <w:tcW w:w="1552" w:type="dxa"/>
          </w:tcPr>
          <w:p w:rsidR="006123F9" w:rsidP="006123F9" w:rsidRDefault="006123F9" w14:paraId="43DA39E9" w14:textId="77777777">
            <w:pPr>
              <w:rPr>
                <w:rFonts w:ascii="Arial" w:hAnsi="Arial" w:cs="Arial"/>
              </w:rPr>
            </w:pPr>
            <w:r>
              <w:rPr>
                <w:rFonts w:ascii="Arial" w:hAnsi="Arial" w:cs="Arial"/>
              </w:rPr>
              <w:t>9.2 to 1</w:t>
            </w:r>
          </w:p>
        </w:tc>
        <w:tc>
          <w:tcPr>
            <w:tcW w:w="1701" w:type="dxa"/>
          </w:tcPr>
          <w:p w:rsidR="006123F9" w:rsidP="006123F9" w:rsidRDefault="006123F9" w14:paraId="25EC6D59" w14:textId="77777777">
            <w:pPr>
              <w:rPr>
                <w:rFonts w:ascii="Arial" w:hAnsi="Arial" w:cs="Arial"/>
              </w:rPr>
            </w:pPr>
            <w:r>
              <w:rPr>
                <w:rFonts w:ascii="Arial" w:hAnsi="Arial" w:cs="Arial"/>
              </w:rPr>
              <w:t>7.6 to 1</w:t>
            </w:r>
          </w:p>
        </w:tc>
        <w:tc>
          <w:tcPr>
            <w:tcW w:w="1701" w:type="dxa"/>
          </w:tcPr>
          <w:p w:rsidR="006123F9" w:rsidP="006123F9" w:rsidRDefault="006123F9" w14:paraId="7A2BB0AB" w14:textId="77777777">
            <w:pPr>
              <w:rPr>
                <w:rFonts w:ascii="Arial" w:hAnsi="Arial" w:cs="Arial"/>
              </w:rPr>
            </w:pPr>
            <w:r>
              <w:rPr>
                <w:rFonts w:ascii="Arial" w:hAnsi="Arial" w:cs="Arial"/>
              </w:rPr>
              <w:t>9.1 to 1</w:t>
            </w:r>
          </w:p>
        </w:tc>
        <w:tc>
          <w:tcPr>
            <w:tcW w:w="1701" w:type="dxa"/>
          </w:tcPr>
          <w:p w:rsidR="006123F9" w:rsidP="006123F9" w:rsidRDefault="006123F9" w14:paraId="792578F1" w14:textId="77777777">
            <w:pPr>
              <w:rPr>
                <w:rFonts w:ascii="Arial" w:hAnsi="Arial" w:cs="Arial"/>
              </w:rPr>
            </w:pPr>
            <w:r>
              <w:rPr>
                <w:rFonts w:ascii="Arial" w:hAnsi="Arial" w:cs="Arial"/>
              </w:rPr>
              <w:t>10 to 1</w:t>
            </w:r>
          </w:p>
        </w:tc>
      </w:tr>
      <w:tr w:rsidR="006123F9" w:rsidTr="00700C37" w14:paraId="1E6EE445" w14:textId="77777777">
        <w:trPr>
          <w:cantSplit/>
        </w:trPr>
        <w:tc>
          <w:tcPr>
            <w:tcW w:w="1704" w:type="dxa"/>
          </w:tcPr>
          <w:p w:rsidR="006123F9" w:rsidP="006123F9" w:rsidRDefault="006123F9" w14:paraId="16FEF71A" w14:textId="77777777">
            <w:pPr>
              <w:rPr>
                <w:rFonts w:ascii="Arial" w:hAnsi="Arial" w:cs="Arial"/>
              </w:rPr>
            </w:pPr>
            <w:r>
              <w:rPr>
                <w:rFonts w:ascii="Arial" w:hAnsi="Arial" w:cs="Arial"/>
              </w:rPr>
              <w:t>Lower quartile house price to earnings ratio</w:t>
            </w:r>
            <w:r>
              <w:rPr>
                <w:rStyle w:val="FootnoteReference"/>
                <w:rFonts w:ascii="Arial" w:hAnsi="Arial" w:cs="Arial"/>
              </w:rPr>
              <w:footnoteReference w:id="6"/>
            </w:r>
          </w:p>
        </w:tc>
        <w:tc>
          <w:tcPr>
            <w:tcW w:w="1552" w:type="dxa"/>
          </w:tcPr>
          <w:p w:rsidR="006123F9" w:rsidP="006123F9" w:rsidRDefault="006123F9" w14:paraId="4E5A6FB8" w14:textId="77777777">
            <w:pPr>
              <w:rPr>
                <w:rFonts w:ascii="Arial" w:hAnsi="Arial" w:cs="Arial"/>
              </w:rPr>
            </w:pPr>
            <w:r>
              <w:rPr>
                <w:rFonts w:ascii="Arial" w:hAnsi="Arial" w:cs="Arial"/>
              </w:rPr>
              <w:t>10 to 1</w:t>
            </w:r>
          </w:p>
        </w:tc>
        <w:tc>
          <w:tcPr>
            <w:tcW w:w="1701" w:type="dxa"/>
          </w:tcPr>
          <w:p w:rsidR="006123F9" w:rsidP="006123F9" w:rsidRDefault="006123F9" w14:paraId="7E7CC66C" w14:textId="77777777">
            <w:pPr>
              <w:rPr>
                <w:rFonts w:ascii="Arial" w:hAnsi="Arial" w:cs="Arial"/>
              </w:rPr>
            </w:pPr>
            <w:r>
              <w:rPr>
                <w:rFonts w:ascii="Arial" w:hAnsi="Arial" w:cs="Arial"/>
              </w:rPr>
              <w:t>8.7 to 1</w:t>
            </w:r>
          </w:p>
        </w:tc>
        <w:tc>
          <w:tcPr>
            <w:tcW w:w="1701" w:type="dxa"/>
          </w:tcPr>
          <w:p w:rsidR="006123F9" w:rsidP="006123F9" w:rsidRDefault="006123F9" w14:paraId="13D5229C" w14:textId="77777777">
            <w:pPr>
              <w:rPr>
                <w:rFonts w:ascii="Arial" w:hAnsi="Arial" w:cs="Arial"/>
              </w:rPr>
            </w:pPr>
            <w:r>
              <w:rPr>
                <w:rFonts w:ascii="Arial" w:hAnsi="Arial" w:cs="Arial"/>
              </w:rPr>
              <w:t>10.3 to 1</w:t>
            </w:r>
          </w:p>
        </w:tc>
        <w:tc>
          <w:tcPr>
            <w:tcW w:w="1701" w:type="dxa"/>
          </w:tcPr>
          <w:p w:rsidR="006123F9" w:rsidP="006123F9" w:rsidRDefault="006123F9" w14:paraId="729D7A6F" w14:textId="77777777">
            <w:pPr>
              <w:rPr>
                <w:rFonts w:ascii="Arial" w:hAnsi="Arial" w:cs="Arial"/>
              </w:rPr>
            </w:pPr>
            <w:r>
              <w:rPr>
                <w:rFonts w:ascii="Arial" w:hAnsi="Arial" w:cs="Arial"/>
              </w:rPr>
              <w:t>10.1 to 1</w:t>
            </w:r>
          </w:p>
        </w:tc>
      </w:tr>
    </w:tbl>
    <w:p w:rsidRPr="008422DE" w:rsidR="00906FA0" w:rsidP="00906FA0" w:rsidRDefault="00906FA0" w14:paraId="1F37ECEE" w14:textId="77777777">
      <w:pPr>
        <w:rPr>
          <w:rFonts w:ascii="Arial" w:hAnsi="Arial" w:cs="Arial"/>
          <w:sz w:val="16"/>
          <w:szCs w:val="16"/>
        </w:rPr>
      </w:pPr>
      <w:r w:rsidRPr="008422DE">
        <w:rPr>
          <w:rFonts w:ascii="Arial" w:hAnsi="Arial" w:cs="Arial"/>
          <w:sz w:val="16"/>
          <w:szCs w:val="16"/>
        </w:rPr>
        <w:t>Table 3</w:t>
      </w:r>
    </w:p>
    <w:p w:rsidR="00906FA0" w:rsidP="00B064B2" w:rsidRDefault="00906FA0" w14:paraId="3F893356" w14:textId="77777777">
      <w:pPr>
        <w:rPr>
          <w:rFonts w:ascii="Arial" w:hAnsi="Arial" w:cs="Arial"/>
        </w:rPr>
      </w:pPr>
    </w:p>
    <w:p w:rsidR="00E27B4D" w:rsidP="00007A21" w:rsidRDefault="006123F9" w14:paraId="0D835205" w14:textId="77777777">
      <w:pPr>
        <w:rPr>
          <w:rFonts w:ascii="Arial" w:hAnsi="Arial" w:cs="Arial"/>
        </w:rPr>
      </w:pPr>
      <w:r>
        <w:rPr>
          <w:rFonts w:ascii="Arial" w:hAnsi="Arial" w:cs="Arial"/>
        </w:rPr>
        <w:t>Whilst house prices to earnings ratios are similar in Broadland and South Norfolk areas</w:t>
      </w:r>
      <w:r w:rsidR="00965B0C">
        <w:rPr>
          <w:rFonts w:ascii="Arial" w:hAnsi="Arial" w:cs="Arial"/>
        </w:rPr>
        <w:t xml:space="preserve"> compared</w:t>
      </w:r>
      <w:r>
        <w:rPr>
          <w:rFonts w:ascii="Arial" w:hAnsi="Arial" w:cs="Arial"/>
        </w:rPr>
        <w:t xml:space="preserve"> to the East</w:t>
      </w:r>
      <w:r w:rsidR="005433DA">
        <w:rPr>
          <w:rFonts w:ascii="Arial" w:hAnsi="Arial" w:cs="Arial"/>
        </w:rPr>
        <w:t xml:space="preserve"> of England</w:t>
      </w:r>
      <w:r w:rsidR="00E27B4D">
        <w:rPr>
          <w:rFonts w:ascii="Arial" w:hAnsi="Arial" w:cs="Arial"/>
        </w:rPr>
        <w:t>,</w:t>
      </w:r>
      <w:r>
        <w:rPr>
          <w:rFonts w:ascii="Arial" w:hAnsi="Arial" w:cs="Arial"/>
        </w:rPr>
        <w:t xml:space="preserve"> in Norwich</w:t>
      </w:r>
      <w:r w:rsidR="00E27B4D">
        <w:rPr>
          <w:rFonts w:ascii="Arial" w:hAnsi="Arial" w:cs="Arial"/>
        </w:rPr>
        <w:t xml:space="preserve"> these ratios are lower. However, wages </w:t>
      </w:r>
      <w:r>
        <w:rPr>
          <w:rFonts w:ascii="Arial" w:hAnsi="Arial" w:cs="Arial"/>
        </w:rPr>
        <w:t>tend to be lower</w:t>
      </w:r>
      <w:r w:rsidR="00E27B4D">
        <w:rPr>
          <w:rFonts w:ascii="Arial" w:hAnsi="Arial" w:cs="Arial"/>
        </w:rPr>
        <w:t xml:space="preserve"> in Norwich</w:t>
      </w:r>
      <w:r>
        <w:rPr>
          <w:rFonts w:ascii="Arial" w:hAnsi="Arial" w:cs="Arial"/>
        </w:rPr>
        <w:t xml:space="preserve"> than </w:t>
      </w:r>
      <w:r w:rsidR="00E27B4D">
        <w:rPr>
          <w:rFonts w:ascii="Arial" w:hAnsi="Arial" w:cs="Arial"/>
        </w:rPr>
        <w:t>South Norfolk and Broadland</w:t>
      </w:r>
      <w:r>
        <w:rPr>
          <w:rFonts w:ascii="Arial" w:hAnsi="Arial" w:cs="Arial"/>
        </w:rPr>
        <w:t xml:space="preserve"> making the option of people owning their own home</w:t>
      </w:r>
      <w:r w:rsidR="00E27B4D">
        <w:rPr>
          <w:rFonts w:ascii="Arial" w:hAnsi="Arial" w:cs="Arial"/>
        </w:rPr>
        <w:t xml:space="preserve"> more difficult especially for those people on lower incomes.</w:t>
      </w:r>
      <w:r w:rsidR="00623AC1">
        <w:rPr>
          <w:rStyle w:val="FootnoteReference"/>
          <w:rFonts w:ascii="Arial" w:hAnsi="Arial" w:cs="Arial"/>
        </w:rPr>
        <w:footnoteReference w:id="7"/>
      </w:r>
    </w:p>
    <w:p w:rsidR="00E27B4D" w:rsidP="00007A21" w:rsidRDefault="00E27B4D" w14:paraId="01EE5340" w14:textId="77777777">
      <w:pPr>
        <w:rPr>
          <w:rFonts w:ascii="Arial" w:hAnsi="Arial" w:cs="Arial"/>
        </w:rPr>
      </w:pPr>
    </w:p>
    <w:p w:rsidRPr="006E6128" w:rsidR="00E228D7" w:rsidP="008479CD" w:rsidRDefault="00A77B25" w14:paraId="2EFC7207" w14:textId="77777777">
      <w:pPr>
        <w:pStyle w:val="GNHS3"/>
      </w:pPr>
      <w:r>
        <w:t>2.2</w:t>
      </w:r>
      <w:r w:rsidR="008422DE">
        <w:tab/>
      </w:r>
      <w:r w:rsidR="00E228D7">
        <w:t xml:space="preserve">Delivery of </w:t>
      </w:r>
      <w:r w:rsidR="008422DE">
        <w:t>Affordable H</w:t>
      </w:r>
      <w:r w:rsidR="00E228D7">
        <w:t>ousing</w:t>
      </w:r>
      <w:r w:rsidRPr="00EC0CDF" w:rsidR="00EC0CDF">
        <w:rPr>
          <w:rStyle w:val="FootnoteReference"/>
          <w:b w:val="0"/>
          <w:sz w:val="16"/>
          <w:szCs w:val="16"/>
        </w:rPr>
        <w:footnoteReference w:id="8"/>
      </w:r>
    </w:p>
    <w:p w:rsidR="00623AC1" w:rsidP="00007A21" w:rsidRDefault="00623AC1" w14:paraId="25AF3DBB" w14:textId="77777777">
      <w:pPr>
        <w:rPr>
          <w:b/>
        </w:rPr>
      </w:pPr>
    </w:p>
    <w:p w:rsidRPr="00623AC1" w:rsidR="00623AC1" w:rsidP="00007A21" w:rsidRDefault="00623AC1" w14:paraId="4EDFE87A" w14:textId="77777777">
      <w:pPr>
        <w:rPr>
          <w:rFonts w:ascii="Arial" w:hAnsi="Arial" w:cs="Arial"/>
        </w:rPr>
      </w:pPr>
      <w:r w:rsidRPr="00623AC1">
        <w:rPr>
          <w:rFonts w:ascii="Arial" w:hAnsi="Arial" w:cs="Arial"/>
        </w:rPr>
        <w:t xml:space="preserve">The Strategic Housing Market Assessment 2017 identified the housing need </w:t>
      </w:r>
      <w:r w:rsidR="00CA6E7D">
        <w:rPr>
          <w:rFonts w:ascii="Arial" w:hAnsi="Arial" w:cs="Arial"/>
        </w:rPr>
        <w:t xml:space="preserve">per year </w:t>
      </w:r>
      <w:r w:rsidRPr="00623AC1">
        <w:rPr>
          <w:rFonts w:ascii="Arial" w:hAnsi="Arial" w:cs="Arial"/>
        </w:rPr>
        <w:t>across Greater Norwich between 2015-2036</w:t>
      </w:r>
      <w:r w:rsidR="008422DE">
        <w:rPr>
          <w:rFonts w:ascii="Arial" w:hAnsi="Arial" w:cs="Arial"/>
        </w:rPr>
        <w:t xml:space="preserve"> as</w:t>
      </w:r>
      <w:r w:rsidRPr="00623AC1">
        <w:rPr>
          <w:rFonts w:ascii="Arial" w:hAnsi="Arial" w:cs="Arial"/>
        </w:rPr>
        <w:t>:</w:t>
      </w:r>
    </w:p>
    <w:p w:rsidRPr="00623AC1" w:rsidR="00A45E5E" w:rsidP="00623AC1" w:rsidRDefault="00A45E5E" w14:paraId="7EE67D56" w14:textId="77777777">
      <w:pPr>
        <w:rPr>
          <w:rFonts w:ascii="Arial" w:hAnsi="Arial" w:cs="Arial"/>
        </w:rPr>
      </w:pPr>
    </w:p>
    <w:tbl>
      <w:tblPr>
        <w:tblW w:w="8566" w:type="dxa"/>
        <w:tblInd w:w="108" w:type="dxa"/>
        <w:tblLook w:val="04A0" w:firstRow="1" w:lastRow="0" w:firstColumn="1" w:lastColumn="0" w:noHBand="0" w:noVBand="1"/>
      </w:tblPr>
      <w:tblGrid>
        <w:gridCol w:w="889"/>
        <w:gridCol w:w="1559"/>
        <w:gridCol w:w="1985"/>
        <w:gridCol w:w="2593"/>
        <w:gridCol w:w="1540"/>
      </w:tblGrid>
      <w:tr w:rsidRPr="00623AC1" w:rsidR="00623AC1" w:rsidTr="00700C37" w14:paraId="7AA24B4E" w14:textId="77777777">
        <w:trPr>
          <w:cantSplit/>
          <w:trHeight w:val="615"/>
          <w:tblHeader/>
        </w:trPr>
        <w:tc>
          <w:tcPr>
            <w:tcW w:w="2448" w:type="dxa"/>
            <w:gridSpan w:val="2"/>
            <w:tcBorders>
              <w:top w:val="single" w:color="auto" w:sz="8" w:space="0"/>
              <w:left w:val="single" w:color="auto" w:sz="8" w:space="0"/>
              <w:bottom w:val="single" w:color="auto" w:sz="8" w:space="0"/>
              <w:right w:val="single" w:color="000000" w:sz="8" w:space="0"/>
            </w:tcBorders>
            <w:shd w:val="clear" w:color="auto" w:fill="F2F2F2" w:themeFill="background1" w:themeFillShade="F2"/>
            <w:noWrap/>
            <w:vAlign w:val="center"/>
            <w:hideMark/>
          </w:tcPr>
          <w:p w:rsidRPr="00623AC1" w:rsidR="00623AC1" w:rsidP="00623AC1" w:rsidRDefault="00623AC1" w14:paraId="6B635775" w14:textId="77777777">
            <w:pPr>
              <w:rPr>
                <w:rFonts w:ascii="Arial" w:hAnsi="Arial" w:cs="Arial"/>
                <w:b/>
                <w:bCs/>
                <w:color w:val="000000"/>
                <w:sz w:val="22"/>
                <w:szCs w:val="22"/>
              </w:rPr>
            </w:pPr>
            <w:r w:rsidRPr="00623AC1">
              <w:rPr>
                <w:rFonts w:ascii="Arial" w:hAnsi="Arial" w:cs="Arial"/>
                <w:b/>
                <w:bCs/>
                <w:color w:val="000000"/>
                <w:sz w:val="22"/>
                <w:szCs w:val="22"/>
              </w:rPr>
              <w:t>Greater Norwich</w:t>
            </w:r>
          </w:p>
        </w:tc>
        <w:tc>
          <w:tcPr>
            <w:tcW w:w="1985" w:type="dxa"/>
            <w:tcBorders>
              <w:top w:val="single" w:color="auto" w:sz="8" w:space="0"/>
              <w:left w:val="nil"/>
              <w:bottom w:val="nil"/>
              <w:right w:val="single" w:color="auto" w:sz="8" w:space="0"/>
            </w:tcBorders>
            <w:shd w:val="clear" w:color="auto" w:fill="F2F2F2" w:themeFill="background1" w:themeFillShade="F2"/>
            <w:vAlign w:val="center"/>
            <w:hideMark/>
          </w:tcPr>
          <w:p w:rsidRPr="00623AC1" w:rsidR="00623AC1" w:rsidP="00623AC1" w:rsidRDefault="00623AC1" w14:paraId="5D1F1039" w14:textId="77777777">
            <w:pPr>
              <w:rPr>
                <w:rFonts w:ascii="Arial" w:hAnsi="Arial" w:cs="Arial"/>
                <w:b/>
                <w:bCs/>
                <w:color w:val="000000"/>
                <w:sz w:val="22"/>
                <w:szCs w:val="22"/>
              </w:rPr>
            </w:pPr>
            <w:r w:rsidRPr="00623AC1">
              <w:rPr>
                <w:rFonts w:ascii="Arial" w:hAnsi="Arial" w:cs="Arial"/>
                <w:b/>
                <w:bCs/>
                <w:color w:val="000000"/>
                <w:sz w:val="22"/>
                <w:szCs w:val="22"/>
              </w:rPr>
              <w:t>Market Housing</w:t>
            </w:r>
          </w:p>
        </w:tc>
        <w:tc>
          <w:tcPr>
            <w:tcW w:w="2593" w:type="dxa"/>
            <w:tcBorders>
              <w:top w:val="single" w:color="auto" w:sz="8" w:space="0"/>
              <w:left w:val="nil"/>
              <w:bottom w:val="nil"/>
              <w:right w:val="single" w:color="auto" w:sz="8" w:space="0"/>
            </w:tcBorders>
            <w:shd w:val="clear" w:color="auto" w:fill="F2F2F2" w:themeFill="background1" w:themeFillShade="F2"/>
            <w:vAlign w:val="center"/>
            <w:hideMark/>
          </w:tcPr>
          <w:p w:rsidRPr="00623AC1" w:rsidR="00623AC1" w:rsidP="00623AC1" w:rsidRDefault="00623AC1" w14:paraId="0BBE4A21" w14:textId="77777777">
            <w:pPr>
              <w:rPr>
                <w:rFonts w:ascii="Arial" w:hAnsi="Arial" w:cs="Arial"/>
                <w:b/>
                <w:bCs/>
                <w:color w:val="000000"/>
                <w:sz w:val="22"/>
                <w:szCs w:val="22"/>
              </w:rPr>
            </w:pPr>
            <w:r w:rsidRPr="00623AC1">
              <w:rPr>
                <w:rFonts w:ascii="Arial" w:hAnsi="Arial" w:cs="Arial"/>
                <w:b/>
                <w:bCs/>
                <w:color w:val="000000"/>
                <w:sz w:val="22"/>
                <w:szCs w:val="22"/>
              </w:rPr>
              <w:t xml:space="preserve">Affordable Housing </w:t>
            </w:r>
          </w:p>
        </w:tc>
        <w:tc>
          <w:tcPr>
            <w:tcW w:w="1540" w:type="dxa"/>
            <w:tcBorders>
              <w:top w:val="single" w:color="auto" w:sz="8" w:space="0"/>
              <w:left w:val="nil"/>
              <w:bottom w:val="nil"/>
              <w:right w:val="single" w:color="auto" w:sz="8" w:space="0"/>
            </w:tcBorders>
            <w:shd w:val="clear" w:color="auto" w:fill="F2F2F2" w:themeFill="background1" w:themeFillShade="F2"/>
            <w:vAlign w:val="center"/>
            <w:hideMark/>
          </w:tcPr>
          <w:p w:rsidRPr="00623AC1" w:rsidR="00623AC1" w:rsidP="00623AC1" w:rsidRDefault="00623AC1" w14:paraId="1E2E8B4A" w14:textId="77777777">
            <w:pPr>
              <w:rPr>
                <w:rFonts w:ascii="Arial" w:hAnsi="Arial" w:cs="Arial"/>
                <w:b/>
                <w:bCs/>
                <w:color w:val="000000"/>
                <w:sz w:val="22"/>
                <w:szCs w:val="22"/>
              </w:rPr>
            </w:pPr>
            <w:r w:rsidRPr="00623AC1">
              <w:rPr>
                <w:rFonts w:ascii="Arial" w:hAnsi="Arial" w:cs="Arial"/>
                <w:b/>
                <w:bCs/>
                <w:color w:val="000000"/>
                <w:sz w:val="22"/>
                <w:szCs w:val="22"/>
              </w:rPr>
              <w:t xml:space="preserve">TOTAL </w:t>
            </w:r>
          </w:p>
        </w:tc>
      </w:tr>
      <w:tr w:rsidRPr="00623AC1" w:rsidR="00623AC1" w:rsidTr="00700C37" w14:paraId="6E2E763E" w14:textId="77777777">
        <w:trPr>
          <w:cantSplit/>
          <w:trHeight w:val="315"/>
          <w:tblHeader/>
        </w:trPr>
        <w:tc>
          <w:tcPr>
            <w:tcW w:w="889"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623AC1" w:rsidR="00623AC1" w:rsidP="00623AC1" w:rsidRDefault="00623AC1" w14:paraId="3F2FDCBB" w14:textId="77777777">
            <w:pPr>
              <w:rPr>
                <w:rFonts w:ascii="Arial" w:hAnsi="Arial" w:cs="Arial"/>
                <w:b/>
                <w:bCs/>
                <w:color w:val="000000"/>
                <w:sz w:val="22"/>
                <w:szCs w:val="22"/>
              </w:rPr>
            </w:pPr>
            <w:r w:rsidRPr="00623AC1">
              <w:rPr>
                <w:rFonts w:ascii="Arial" w:hAnsi="Arial" w:cs="Arial"/>
                <w:b/>
                <w:bCs/>
                <w:color w:val="000000"/>
                <w:sz w:val="22"/>
                <w:szCs w:val="22"/>
              </w:rPr>
              <w:t xml:space="preserve">Flat </w:t>
            </w:r>
          </w:p>
        </w:tc>
        <w:tc>
          <w:tcPr>
            <w:tcW w:w="1559" w:type="dxa"/>
            <w:tcBorders>
              <w:top w:val="nil"/>
              <w:left w:val="nil"/>
              <w:bottom w:val="single" w:color="auto" w:sz="4" w:space="0"/>
              <w:right w:val="nil"/>
            </w:tcBorders>
            <w:shd w:val="clear" w:color="auto" w:fill="auto"/>
            <w:noWrap/>
            <w:vAlign w:val="bottom"/>
            <w:hideMark/>
          </w:tcPr>
          <w:p w:rsidRPr="00623AC1" w:rsidR="00623AC1" w:rsidP="00623AC1" w:rsidRDefault="00623AC1" w14:paraId="2A33D344" w14:textId="77777777">
            <w:pPr>
              <w:rPr>
                <w:rFonts w:ascii="Arial" w:hAnsi="Arial" w:cs="Arial"/>
                <w:color w:val="000000"/>
                <w:sz w:val="22"/>
                <w:szCs w:val="22"/>
              </w:rPr>
            </w:pPr>
            <w:r w:rsidRPr="00623AC1">
              <w:rPr>
                <w:rFonts w:ascii="Arial" w:hAnsi="Arial" w:cs="Arial"/>
                <w:color w:val="000000"/>
                <w:sz w:val="22"/>
                <w:szCs w:val="22"/>
              </w:rPr>
              <w:t xml:space="preserve">1 bedroom </w:t>
            </w:r>
          </w:p>
        </w:tc>
        <w:tc>
          <w:tcPr>
            <w:tcW w:w="1985"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623AC1" w:rsidR="00623AC1" w:rsidP="00623AC1" w:rsidRDefault="00623AC1" w14:paraId="213CAFAC" w14:textId="77777777">
            <w:pPr>
              <w:jc w:val="right"/>
              <w:rPr>
                <w:rFonts w:ascii="Arial" w:hAnsi="Arial" w:cs="Arial"/>
                <w:color w:val="000000"/>
                <w:sz w:val="22"/>
                <w:szCs w:val="22"/>
              </w:rPr>
            </w:pPr>
            <w:r w:rsidRPr="00623AC1">
              <w:rPr>
                <w:rFonts w:ascii="Arial" w:hAnsi="Arial" w:cs="Arial"/>
                <w:color w:val="000000"/>
                <w:sz w:val="22"/>
                <w:szCs w:val="22"/>
              </w:rPr>
              <w:t>61</w:t>
            </w:r>
            <w:r w:rsidR="00D87411">
              <w:rPr>
                <w:rFonts w:ascii="Arial" w:hAnsi="Arial" w:cs="Arial"/>
                <w:color w:val="000000"/>
                <w:sz w:val="22"/>
                <w:szCs w:val="22"/>
              </w:rPr>
              <w:t xml:space="preserve"> (1,285)</w:t>
            </w:r>
          </w:p>
        </w:tc>
        <w:tc>
          <w:tcPr>
            <w:tcW w:w="2593" w:type="dxa"/>
            <w:tcBorders>
              <w:top w:val="single" w:color="auto" w:sz="8" w:space="0"/>
              <w:left w:val="nil"/>
              <w:bottom w:val="single" w:color="auto" w:sz="4" w:space="0"/>
              <w:right w:val="single" w:color="auto" w:sz="8" w:space="0"/>
            </w:tcBorders>
            <w:shd w:val="clear" w:color="auto" w:fill="auto"/>
            <w:noWrap/>
            <w:vAlign w:val="bottom"/>
            <w:hideMark/>
          </w:tcPr>
          <w:p w:rsidRPr="00623AC1" w:rsidR="00623AC1" w:rsidP="00623AC1" w:rsidRDefault="00623AC1" w14:paraId="302C1667" w14:textId="77777777">
            <w:pPr>
              <w:jc w:val="right"/>
              <w:rPr>
                <w:rFonts w:ascii="Arial" w:hAnsi="Arial" w:cs="Arial"/>
                <w:color w:val="000000"/>
                <w:sz w:val="22"/>
                <w:szCs w:val="22"/>
              </w:rPr>
            </w:pPr>
            <w:r w:rsidRPr="00623AC1">
              <w:rPr>
                <w:rFonts w:ascii="Arial" w:hAnsi="Arial" w:cs="Arial"/>
                <w:color w:val="000000"/>
                <w:sz w:val="22"/>
                <w:szCs w:val="22"/>
              </w:rPr>
              <w:t>130</w:t>
            </w:r>
            <w:r w:rsidR="00D87411">
              <w:rPr>
                <w:rFonts w:ascii="Arial" w:hAnsi="Arial" w:cs="Arial"/>
                <w:color w:val="000000"/>
                <w:sz w:val="22"/>
                <w:szCs w:val="22"/>
              </w:rPr>
              <w:t xml:space="preserve"> (2,725)</w:t>
            </w:r>
          </w:p>
        </w:tc>
        <w:tc>
          <w:tcPr>
            <w:tcW w:w="1540" w:type="dxa"/>
            <w:tcBorders>
              <w:top w:val="single" w:color="auto" w:sz="8" w:space="0"/>
              <w:left w:val="nil"/>
              <w:bottom w:val="single" w:color="auto" w:sz="4" w:space="0"/>
              <w:right w:val="single" w:color="auto" w:sz="8" w:space="0"/>
            </w:tcBorders>
            <w:shd w:val="clear" w:color="auto" w:fill="auto"/>
            <w:noWrap/>
            <w:vAlign w:val="bottom"/>
            <w:hideMark/>
          </w:tcPr>
          <w:p w:rsidRPr="00A659D1" w:rsidR="00623AC1" w:rsidP="00623AC1" w:rsidRDefault="00623AC1" w14:paraId="26643ABF" w14:textId="77777777">
            <w:pPr>
              <w:jc w:val="right"/>
              <w:rPr>
                <w:rFonts w:ascii="Arial" w:hAnsi="Arial" w:cs="Arial"/>
                <w:color w:val="000000"/>
                <w:sz w:val="22"/>
                <w:szCs w:val="22"/>
              </w:rPr>
            </w:pPr>
            <w:r w:rsidRPr="00A659D1">
              <w:rPr>
                <w:rFonts w:ascii="Arial" w:hAnsi="Arial" w:cs="Arial"/>
                <w:color w:val="000000"/>
                <w:sz w:val="22"/>
                <w:szCs w:val="22"/>
              </w:rPr>
              <w:t>191</w:t>
            </w:r>
            <w:r w:rsidR="00D87411">
              <w:rPr>
                <w:rFonts w:ascii="Arial" w:hAnsi="Arial" w:cs="Arial"/>
                <w:color w:val="000000"/>
                <w:sz w:val="22"/>
                <w:szCs w:val="22"/>
              </w:rPr>
              <w:t xml:space="preserve"> (4,011)</w:t>
            </w:r>
          </w:p>
        </w:tc>
      </w:tr>
      <w:tr w:rsidRPr="00623AC1" w:rsidR="00623AC1" w:rsidTr="00700C37" w14:paraId="3B2F4466" w14:textId="77777777">
        <w:trPr>
          <w:cantSplit/>
          <w:trHeight w:val="315"/>
          <w:tblHeader/>
        </w:trPr>
        <w:tc>
          <w:tcPr>
            <w:tcW w:w="889" w:type="dxa"/>
            <w:vMerge/>
            <w:tcBorders>
              <w:top w:val="nil"/>
              <w:left w:val="single" w:color="auto" w:sz="8" w:space="0"/>
              <w:bottom w:val="single" w:color="000000" w:sz="8" w:space="0"/>
              <w:right w:val="single" w:color="auto" w:sz="8" w:space="0"/>
            </w:tcBorders>
            <w:vAlign w:val="center"/>
            <w:hideMark/>
          </w:tcPr>
          <w:p w:rsidRPr="00623AC1" w:rsidR="00623AC1" w:rsidP="00623AC1" w:rsidRDefault="00623AC1" w14:paraId="077B25F5" w14:textId="77777777">
            <w:pPr>
              <w:rPr>
                <w:rFonts w:ascii="Arial" w:hAnsi="Arial" w:cs="Arial"/>
                <w:b/>
                <w:bCs/>
                <w:color w:val="000000"/>
                <w:sz w:val="22"/>
                <w:szCs w:val="22"/>
              </w:rPr>
            </w:pPr>
          </w:p>
        </w:tc>
        <w:tc>
          <w:tcPr>
            <w:tcW w:w="1559" w:type="dxa"/>
            <w:tcBorders>
              <w:top w:val="nil"/>
              <w:left w:val="nil"/>
              <w:bottom w:val="nil"/>
              <w:right w:val="nil"/>
            </w:tcBorders>
            <w:shd w:val="clear" w:color="auto" w:fill="auto"/>
            <w:noWrap/>
            <w:vAlign w:val="bottom"/>
            <w:hideMark/>
          </w:tcPr>
          <w:p w:rsidRPr="00623AC1" w:rsidR="00623AC1" w:rsidP="00623AC1" w:rsidRDefault="00623AC1" w14:paraId="1A6BDE2E" w14:textId="77777777">
            <w:pPr>
              <w:rPr>
                <w:rFonts w:ascii="Arial" w:hAnsi="Arial" w:cs="Arial"/>
                <w:color w:val="000000"/>
                <w:sz w:val="22"/>
                <w:szCs w:val="22"/>
              </w:rPr>
            </w:pPr>
            <w:r w:rsidRPr="00623AC1">
              <w:rPr>
                <w:rFonts w:ascii="Arial" w:hAnsi="Arial" w:cs="Arial"/>
                <w:color w:val="000000"/>
                <w:sz w:val="22"/>
                <w:szCs w:val="22"/>
              </w:rPr>
              <w:t xml:space="preserve">2+ bedrooms </w:t>
            </w:r>
          </w:p>
        </w:tc>
        <w:tc>
          <w:tcPr>
            <w:tcW w:w="1985" w:type="dxa"/>
            <w:tcBorders>
              <w:top w:val="nil"/>
              <w:left w:val="single" w:color="auto" w:sz="8" w:space="0"/>
              <w:bottom w:val="nil"/>
              <w:right w:val="single" w:color="auto" w:sz="8" w:space="0"/>
            </w:tcBorders>
            <w:shd w:val="clear" w:color="auto" w:fill="auto"/>
            <w:noWrap/>
            <w:vAlign w:val="bottom"/>
            <w:hideMark/>
          </w:tcPr>
          <w:p w:rsidRPr="00623AC1" w:rsidR="00623AC1" w:rsidP="00623AC1" w:rsidRDefault="00623AC1" w14:paraId="37374AB3" w14:textId="77777777">
            <w:pPr>
              <w:jc w:val="right"/>
              <w:rPr>
                <w:rFonts w:ascii="Arial" w:hAnsi="Arial" w:cs="Arial"/>
                <w:color w:val="000000"/>
                <w:sz w:val="22"/>
                <w:szCs w:val="22"/>
              </w:rPr>
            </w:pPr>
            <w:r w:rsidRPr="00623AC1">
              <w:rPr>
                <w:rFonts w:ascii="Arial" w:hAnsi="Arial" w:cs="Arial"/>
                <w:color w:val="000000"/>
                <w:sz w:val="22"/>
                <w:szCs w:val="22"/>
              </w:rPr>
              <w:t>64</w:t>
            </w:r>
            <w:r w:rsidR="00D87411">
              <w:rPr>
                <w:rFonts w:ascii="Arial" w:hAnsi="Arial" w:cs="Arial"/>
                <w:color w:val="000000"/>
                <w:sz w:val="22"/>
                <w:szCs w:val="22"/>
              </w:rPr>
              <w:t xml:space="preserve"> (1,352)</w:t>
            </w:r>
          </w:p>
        </w:tc>
        <w:tc>
          <w:tcPr>
            <w:tcW w:w="2593" w:type="dxa"/>
            <w:tcBorders>
              <w:top w:val="nil"/>
              <w:left w:val="nil"/>
              <w:bottom w:val="nil"/>
              <w:right w:val="single" w:color="auto" w:sz="8" w:space="0"/>
            </w:tcBorders>
            <w:shd w:val="clear" w:color="auto" w:fill="auto"/>
            <w:noWrap/>
            <w:vAlign w:val="bottom"/>
            <w:hideMark/>
          </w:tcPr>
          <w:p w:rsidRPr="00623AC1" w:rsidR="00623AC1" w:rsidP="00623AC1" w:rsidRDefault="00623AC1" w14:paraId="5F399383" w14:textId="77777777">
            <w:pPr>
              <w:jc w:val="right"/>
              <w:rPr>
                <w:rFonts w:ascii="Arial" w:hAnsi="Arial" w:cs="Arial"/>
                <w:color w:val="000000"/>
                <w:sz w:val="22"/>
                <w:szCs w:val="22"/>
              </w:rPr>
            </w:pPr>
            <w:r w:rsidRPr="00623AC1">
              <w:rPr>
                <w:rFonts w:ascii="Arial" w:hAnsi="Arial" w:cs="Arial"/>
                <w:color w:val="000000"/>
                <w:sz w:val="22"/>
                <w:szCs w:val="22"/>
              </w:rPr>
              <w:t>67</w:t>
            </w:r>
            <w:r w:rsidR="00D87411">
              <w:rPr>
                <w:rFonts w:ascii="Arial" w:hAnsi="Arial" w:cs="Arial"/>
                <w:color w:val="000000"/>
                <w:sz w:val="22"/>
                <w:szCs w:val="22"/>
              </w:rPr>
              <w:t xml:space="preserve"> (1,404)</w:t>
            </w:r>
          </w:p>
        </w:tc>
        <w:tc>
          <w:tcPr>
            <w:tcW w:w="1540" w:type="dxa"/>
            <w:tcBorders>
              <w:top w:val="nil"/>
              <w:left w:val="nil"/>
              <w:bottom w:val="nil"/>
              <w:right w:val="single" w:color="auto" w:sz="8" w:space="0"/>
            </w:tcBorders>
            <w:shd w:val="clear" w:color="auto" w:fill="auto"/>
            <w:noWrap/>
            <w:vAlign w:val="bottom"/>
            <w:hideMark/>
          </w:tcPr>
          <w:p w:rsidRPr="00A659D1" w:rsidR="00623AC1" w:rsidP="00623AC1" w:rsidRDefault="00623AC1" w14:paraId="3EDCE44D" w14:textId="77777777">
            <w:pPr>
              <w:jc w:val="right"/>
              <w:rPr>
                <w:rFonts w:ascii="Arial" w:hAnsi="Arial" w:cs="Arial"/>
                <w:color w:val="000000"/>
                <w:sz w:val="22"/>
                <w:szCs w:val="22"/>
              </w:rPr>
            </w:pPr>
            <w:r w:rsidRPr="00A659D1">
              <w:rPr>
                <w:rFonts w:ascii="Arial" w:hAnsi="Arial" w:cs="Arial"/>
                <w:color w:val="000000"/>
                <w:sz w:val="22"/>
                <w:szCs w:val="22"/>
              </w:rPr>
              <w:t>131</w:t>
            </w:r>
            <w:r w:rsidR="00D87411">
              <w:rPr>
                <w:rFonts w:ascii="Arial" w:hAnsi="Arial" w:cs="Arial"/>
                <w:color w:val="000000"/>
                <w:sz w:val="22"/>
                <w:szCs w:val="22"/>
              </w:rPr>
              <w:t xml:space="preserve"> (2,756)</w:t>
            </w:r>
          </w:p>
        </w:tc>
      </w:tr>
      <w:tr w:rsidRPr="00623AC1" w:rsidR="00623AC1" w:rsidTr="00700C37" w14:paraId="55769582" w14:textId="77777777">
        <w:trPr>
          <w:cantSplit/>
          <w:trHeight w:val="300"/>
          <w:tblHeader/>
        </w:trPr>
        <w:tc>
          <w:tcPr>
            <w:tcW w:w="889" w:type="dxa"/>
            <w:vMerge w:val="restart"/>
            <w:tcBorders>
              <w:top w:val="nil"/>
              <w:left w:val="single" w:color="auto" w:sz="8" w:space="0"/>
              <w:bottom w:val="single" w:color="000000" w:sz="8" w:space="0"/>
              <w:right w:val="single" w:color="auto" w:sz="8" w:space="0"/>
            </w:tcBorders>
            <w:shd w:val="clear" w:color="auto" w:fill="auto"/>
            <w:noWrap/>
            <w:vAlign w:val="center"/>
            <w:hideMark/>
          </w:tcPr>
          <w:p w:rsidRPr="00623AC1" w:rsidR="00623AC1" w:rsidP="00623AC1" w:rsidRDefault="00623AC1" w14:paraId="1F5FE283" w14:textId="77777777">
            <w:pPr>
              <w:rPr>
                <w:rFonts w:ascii="Arial" w:hAnsi="Arial" w:cs="Arial"/>
                <w:b/>
                <w:bCs/>
                <w:color w:val="000000"/>
                <w:sz w:val="22"/>
                <w:szCs w:val="22"/>
              </w:rPr>
            </w:pPr>
            <w:r w:rsidRPr="00623AC1">
              <w:rPr>
                <w:rFonts w:ascii="Arial" w:hAnsi="Arial" w:cs="Arial"/>
                <w:b/>
                <w:bCs/>
                <w:color w:val="000000"/>
                <w:sz w:val="22"/>
                <w:szCs w:val="22"/>
              </w:rPr>
              <w:t xml:space="preserve">House </w:t>
            </w:r>
          </w:p>
        </w:tc>
        <w:tc>
          <w:tcPr>
            <w:tcW w:w="1559" w:type="dxa"/>
            <w:tcBorders>
              <w:top w:val="single" w:color="auto" w:sz="8" w:space="0"/>
              <w:left w:val="nil"/>
              <w:bottom w:val="single" w:color="auto" w:sz="4" w:space="0"/>
              <w:right w:val="nil"/>
            </w:tcBorders>
            <w:shd w:val="clear" w:color="auto" w:fill="auto"/>
            <w:noWrap/>
            <w:vAlign w:val="bottom"/>
            <w:hideMark/>
          </w:tcPr>
          <w:p w:rsidRPr="00623AC1" w:rsidR="00623AC1" w:rsidP="00623AC1" w:rsidRDefault="00623AC1" w14:paraId="3C816CD1" w14:textId="77777777">
            <w:pPr>
              <w:rPr>
                <w:rFonts w:ascii="Arial" w:hAnsi="Arial" w:cs="Arial"/>
                <w:color w:val="000000"/>
                <w:sz w:val="22"/>
                <w:szCs w:val="22"/>
              </w:rPr>
            </w:pPr>
            <w:r w:rsidRPr="00623AC1">
              <w:rPr>
                <w:rFonts w:ascii="Arial" w:hAnsi="Arial" w:cs="Arial"/>
                <w:color w:val="000000"/>
                <w:sz w:val="22"/>
                <w:szCs w:val="22"/>
              </w:rPr>
              <w:t xml:space="preserve">2 bedrooms </w:t>
            </w:r>
          </w:p>
        </w:tc>
        <w:tc>
          <w:tcPr>
            <w:tcW w:w="1985" w:type="dxa"/>
            <w:tcBorders>
              <w:top w:val="single" w:color="auto" w:sz="8" w:space="0"/>
              <w:left w:val="single" w:color="auto" w:sz="8" w:space="0"/>
              <w:bottom w:val="single" w:color="auto" w:sz="4" w:space="0"/>
              <w:right w:val="single" w:color="auto" w:sz="8" w:space="0"/>
            </w:tcBorders>
            <w:shd w:val="clear" w:color="auto" w:fill="auto"/>
            <w:noWrap/>
            <w:vAlign w:val="bottom"/>
            <w:hideMark/>
          </w:tcPr>
          <w:p w:rsidRPr="00623AC1" w:rsidR="00623AC1" w:rsidP="00623AC1" w:rsidRDefault="00B04328" w14:paraId="4C3874BA" w14:textId="77777777">
            <w:pPr>
              <w:jc w:val="right"/>
              <w:rPr>
                <w:rFonts w:ascii="Arial" w:hAnsi="Arial" w:cs="Arial"/>
                <w:color w:val="000000"/>
                <w:sz w:val="22"/>
                <w:szCs w:val="22"/>
              </w:rPr>
            </w:pPr>
            <w:r>
              <w:rPr>
                <w:rFonts w:ascii="Arial" w:hAnsi="Arial" w:cs="Arial"/>
                <w:color w:val="000000"/>
                <w:sz w:val="22"/>
                <w:szCs w:val="22"/>
              </w:rPr>
              <w:t>154</w:t>
            </w:r>
            <w:r w:rsidR="00D87411">
              <w:rPr>
                <w:rFonts w:ascii="Arial" w:hAnsi="Arial" w:cs="Arial"/>
                <w:color w:val="000000"/>
                <w:sz w:val="22"/>
                <w:szCs w:val="22"/>
              </w:rPr>
              <w:t xml:space="preserve"> (3,227)</w:t>
            </w:r>
          </w:p>
        </w:tc>
        <w:tc>
          <w:tcPr>
            <w:tcW w:w="2593" w:type="dxa"/>
            <w:tcBorders>
              <w:top w:val="single" w:color="auto" w:sz="8" w:space="0"/>
              <w:left w:val="nil"/>
              <w:bottom w:val="single" w:color="auto" w:sz="4" w:space="0"/>
              <w:right w:val="single" w:color="auto" w:sz="8" w:space="0"/>
            </w:tcBorders>
            <w:shd w:val="clear" w:color="auto" w:fill="auto"/>
            <w:noWrap/>
            <w:vAlign w:val="bottom"/>
            <w:hideMark/>
          </w:tcPr>
          <w:p w:rsidRPr="00623AC1" w:rsidR="00623AC1" w:rsidP="00623AC1" w:rsidRDefault="00623AC1" w14:paraId="2CE2E581" w14:textId="77777777">
            <w:pPr>
              <w:jc w:val="right"/>
              <w:rPr>
                <w:rFonts w:ascii="Arial" w:hAnsi="Arial" w:cs="Arial"/>
                <w:color w:val="000000"/>
                <w:sz w:val="22"/>
                <w:szCs w:val="22"/>
              </w:rPr>
            </w:pPr>
            <w:r w:rsidRPr="00623AC1">
              <w:rPr>
                <w:rFonts w:ascii="Arial" w:hAnsi="Arial" w:cs="Arial"/>
                <w:color w:val="000000"/>
                <w:sz w:val="22"/>
                <w:szCs w:val="22"/>
              </w:rPr>
              <w:t>136</w:t>
            </w:r>
            <w:r w:rsidR="00D87411">
              <w:rPr>
                <w:rFonts w:ascii="Arial" w:hAnsi="Arial" w:cs="Arial"/>
                <w:color w:val="000000"/>
                <w:sz w:val="22"/>
                <w:szCs w:val="22"/>
              </w:rPr>
              <w:t xml:space="preserve"> (2,863)</w:t>
            </w:r>
          </w:p>
        </w:tc>
        <w:tc>
          <w:tcPr>
            <w:tcW w:w="1540" w:type="dxa"/>
            <w:tcBorders>
              <w:top w:val="single" w:color="auto" w:sz="8" w:space="0"/>
              <w:left w:val="nil"/>
              <w:bottom w:val="single" w:color="auto" w:sz="4" w:space="0"/>
              <w:right w:val="single" w:color="auto" w:sz="8" w:space="0"/>
            </w:tcBorders>
            <w:shd w:val="clear" w:color="auto" w:fill="auto"/>
            <w:noWrap/>
            <w:vAlign w:val="bottom"/>
            <w:hideMark/>
          </w:tcPr>
          <w:p w:rsidRPr="00A659D1" w:rsidR="00623AC1" w:rsidP="00623AC1" w:rsidRDefault="00C02886" w14:paraId="178B48DA" w14:textId="77777777">
            <w:pPr>
              <w:jc w:val="right"/>
              <w:rPr>
                <w:rFonts w:ascii="Arial" w:hAnsi="Arial" w:cs="Arial"/>
                <w:color w:val="000000"/>
                <w:sz w:val="22"/>
                <w:szCs w:val="22"/>
              </w:rPr>
            </w:pPr>
            <w:r>
              <w:rPr>
                <w:rFonts w:ascii="Arial" w:hAnsi="Arial" w:cs="Arial"/>
                <w:color w:val="000000"/>
                <w:sz w:val="22"/>
                <w:szCs w:val="22"/>
              </w:rPr>
              <w:t>290</w:t>
            </w:r>
            <w:r w:rsidR="00D87411">
              <w:rPr>
                <w:rFonts w:ascii="Arial" w:hAnsi="Arial" w:cs="Arial"/>
                <w:color w:val="000000"/>
                <w:sz w:val="22"/>
                <w:szCs w:val="22"/>
              </w:rPr>
              <w:t xml:space="preserve"> (6,090)</w:t>
            </w:r>
          </w:p>
        </w:tc>
      </w:tr>
      <w:tr w:rsidRPr="00623AC1" w:rsidR="00623AC1" w:rsidTr="00700C37" w14:paraId="0B3A8DA1" w14:textId="77777777">
        <w:trPr>
          <w:cantSplit/>
          <w:trHeight w:val="300"/>
          <w:tblHeader/>
        </w:trPr>
        <w:tc>
          <w:tcPr>
            <w:tcW w:w="889" w:type="dxa"/>
            <w:vMerge/>
            <w:tcBorders>
              <w:top w:val="nil"/>
              <w:left w:val="single" w:color="auto" w:sz="8" w:space="0"/>
              <w:bottom w:val="single" w:color="000000" w:sz="8" w:space="0"/>
              <w:right w:val="single" w:color="auto" w:sz="8" w:space="0"/>
            </w:tcBorders>
            <w:vAlign w:val="center"/>
            <w:hideMark/>
          </w:tcPr>
          <w:p w:rsidRPr="00623AC1" w:rsidR="00623AC1" w:rsidP="00623AC1" w:rsidRDefault="00623AC1" w14:paraId="41526C8D" w14:textId="77777777">
            <w:pPr>
              <w:rPr>
                <w:rFonts w:ascii="Arial" w:hAnsi="Arial" w:cs="Arial"/>
                <w:b/>
                <w:bCs/>
                <w:color w:val="000000"/>
                <w:sz w:val="22"/>
                <w:szCs w:val="22"/>
              </w:rPr>
            </w:pPr>
          </w:p>
        </w:tc>
        <w:tc>
          <w:tcPr>
            <w:tcW w:w="1559" w:type="dxa"/>
            <w:tcBorders>
              <w:top w:val="nil"/>
              <w:left w:val="nil"/>
              <w:bottom w:val="single" w:color="auto" w:sz="4" w:space="0"/>
              <w:right w:val="nil"/>
            </w:tcBorders>
            <w:shd w:val="clear" w:color="auto" w:fill="auto"/>
            <w:noWrap/>
            <w:vAlign w:val="bottom"/>
            <w:hideMark/>
          </w:tcPr>
          <w:p w:rsidRPr="00623AC1" w:rsidR="00623AC1" w:rsidP="00623AC1" w:rsidRDefault="00623AC1" w14:paraId="121B2C46" w14:textId="77777777">
            <w:pPr>
              <w:rPr>
                <w:rFonts w:ascii="Arial" w:hAnsi="Arial" w:cs="Arial"/>
                <w:color w:val="000000"/>
                <w:sz w:val="22"/>
                <w:szCs w:val="22"/>
              </w:rPr>
            </w:pPr>
            <w:r w:rsidRPr="00623AC1">
              <w:rPr>
                <w:rFonts w:ascii="Arial" w:hAnsi="Arial" w:cs="Arial"/>
                <w:color w:val="000000"/>
                <w:sz w:val="22"/>
                <w:szCs w:val="22"/>
              </w:rPr>
              <w:t xml:space="preserve">3 bedrooms </w:t>
            </w:r>
          </w:p>
        </w:tc>
        <w:tc>
          <w:tcPr>
            <w:tcW w:w="1985" w:type="dxa"/>
            <w:tcBorders>
              <w:top w:val="nil"/>
              <w:left w:val="single" w:color="auto" w:sz="8" w:space="0"/>
              <w:bottom w:val="single" w:color="auto" w:sz="4" w:space="0"/>
              <w:right w:val="single" w:color="auto" w:sz="8" w:space="0"/>
            </w:tcBorders>
            <w:shd w:val="clear" w:color="auto" w:fill="auto"/>
            <w:noWrap/>
            <w:vAlign w:val="bottom"/>
            <w:hideMark/>
          </w:tcPr>
          <w:p w:rsidRPr="00623AC1" w:rsidR="00623AC1" w:rsidP="00623AC1" w:rsidRDefault="00623AC1" w14:paraId="377E451C" w14:textId="77777777">
            <w:pPr>
              <w:jc w:val="right"/>
              <w:rPr>
                <w:rFonts w:ascii="Arial" w:hAnsi="Arial" w:cs="Arial"/>
                <w:color w:val="000000"/>
                <w:sz w:val="22"/>
                <w:szCs w:val="22"/>
              </w:rPr>
            </w:pPr>
            <w:r w:rsidRPr="00623AC1">
              <w:rPr>
                <w:rFonts w:ascii="Arial" w:hAnsi="Arial" w:cs="Arial"/>
                <w:color w:val="000000"/>
                <w:sz w:val="22"/>
                <w:szCs w:val="22"/>
              </w:rPr>
              <w:t>781</w:t>
            </w:r>
            <w:r w:rsidR="00D87411">
              <w:rPr>
                <w:rFonts w:ascii="Arial" w:hAnsi="Arial" w:cs="Arial"/>
                <w:color w:val="000000"/>
                <w:sz w:val="22"/>
                <w:szCs w:val="22"/>
              </w:rPr>
              <w:t xml:space="preserve"> (16,393)</w:t>
            </w:r>
          </w:p>
        </w:tc>
        <w:tc>
          <w:tcPr>
            <w:tcW w:w="2593" w:type="dxa"/>
            <w:tcBorders>
              <w:top w:val="nil"/>
              <w:left w:val="nil"/>
              <w:bottom w:val="single" w:color="auto" w:sz="4" w:space="0"/>
              <w:right w:val="single" w:color="auto" w:sz="8" w:space="0"/>
            </w:tcBorders>
            <w:shd w:val="clear" w:color="auto" w:fill="auto"/>
            <w:noWrap/>
            <w:vAlign w:val="bottom"/>
            <w:hideMark/>
          </w:tcPr>
          <w:p w:rsidRPr="00623AC1" w:rsidR="00623AC1" w:rsidP="00623AC1" w:rsidRDefault="00623AC1" w14:paraId="022E082F" w14:textId="77777777">
            <w:pPr>
              <w:jc w:val="right"/>
              <w:rPr>
                <w:rFonts w:ascii="Arial" w:hAnsi="Arial" w:cs="Arial"/>
                <w:color w:val="000000"/>
                <w:sz w:val="22"/>
                <w:szCs w:val="22"/>
              </w:rPr>
            </w:pPr>
            <w:r w:rsidRPr="00623AC1">
              <w:rPr>
                <w:rFonts w:ascii="Arial" w:hAnsi="Arial" w:cs="Arial"/>
                <w:color w:val="000000"/>
                <w:sz w:val="22"/>
                <w:szCs w:val="22"/>
              </w:rPr>
              <w:t>154</w:t>
            </w:r>
            <w:r w:rsidR="00D87411">
              <w:rPr>
                <w:rFonts w:ascii="Arial" w:hAnsi="Arial" w:cs="Arial"/>
                <w:color w:val="000000"/>
                <w:sz w:val="22"/>
                <w:szCs w:val="22"/>
              </w:rPr>
              <w:t xml:space="preserve"> (3,238)</w:t>
            </w:r>
          </w:p>
        </w:tc>
        <w:tc>
          <w:tcPr>
            <w:tcW w:w="1540" w:type="dxa"/>
            <w:tcBorders>
              <w:top w:val="nil"/>
              <w:left w:val="nil"/>
              <w:bottom w:val="single" w:color="auto" w:sz="4" w:space="0"/>
              <w:right w:val="single" w:color="auto" w:sz="8" w:space="0"/>
            </w:tcBorders>
            <w:shd w:val="clear" w:color="auto" w:fill="auto"/>
            <w:noWrap/>
            <w:vAlign w:val="bottom"/>
            <w:hideMark/>
          </w:tcPr>
          <w:p w:rsidRPr="00A659D1" w:rsidR="00623AC1" w:rsidP="00623AC1" w:rsidRDefault="00623AC1" w14:paraId="3AFCB1B7" w14:textId="77777777">
            <w:pPr>
              <w:jc w:val="right"/>
              <w:rPr>
                <w:rFonts w:ascii="Arial" w:hAnsi="Arial" w:cs="Arial"/>
                <w:color w:val="000000"/>
                <w:sz w:val="22"/>
                <w:szCs w:val="22"/>
              </w:rPr>
            </w:pPr>
            <w:r w:rsidRPr="00A659D1">
              <w:rPr>
                <w:rFonts w:ascii="Arial" w:hAnsi="Arial" w:cs="Arial"/>
                <w:color w:val="000000"/>
                <w:sz w:val="22"/>
                <w:szCs w:val="22"/>
              </w:rPr>
              <w:t>935</w:t>
            </w:r>
            <w:r w:rsidR="00D87411">
              <w:rPr>
                <w:rFonts w:ascii="Arial" w:hAnsi="Arial" w:cs="Arial"/>
                <w:color w:val="000000"/>
                <w:sz w:val="22"/>
                <w:szCs w:val="22"/>
              </w:rPr>
              <w:t xml:space="preserve"> (19,632)</w:t>
            </w:r>
          </w:p>
        </w:tc>
      </w:tr>
      <w:tr w:rsidRPr="00623AC1" w:rsidR="00623AC1" w:rsidTr="00700C37" w14:paraId="06513BCC" w14:textId="77777777">
        <w:trPr>
          <w:cantSplit/>
          <w:trHeight w:val="300"/>
          <w:tblHeader/>
        </w:trPr>
        <w:tc>
          <w:tcPr>
            <w:tcW w:w="889" w:type="dxa"/>
            <w:vMerge/>
            <w:tcBorders>
              <w:top w:val="nil"/>
              <w:left w:val="single" w:color="auto" w:sz="8" w:space="0"/>
              <w:bottom w:val="single" w:color="000000" w:sz="8" w:space="0"/>
              <w:right w:val="single" w:color="auto" w:sz="8" w:space="0"/>
            </w:tcBorders>
            <w:vAlign w:val="center"/>
            <w:hideMark/>
          </w:tcPr>
          <w:p w:rsidRPr="00623AC1" w:rsidR="00623AC1" w:rsidP="00623AC1" w:rsidRDefault="00623AC1" w14:paraId="6058234A" w14:textId="77777777">
            <w:pPr>
              <w:rPr>
                <w:rFonts w:ascii="Arial" w:hAnsi="Arial" w:cs="Arial"/>
                <w:b/>
                <w:bCs/>
                <w:color w:val="000000"/>
                <w:sz w:val="22"/>
                <w:szCs w:val="22"/>
              </w:rPr>
            </w:pPr>
          </w:p>
        </w:tc>
        <w:tc>
          <w:tcPr>
            <w:tcW w:w="1559" w:type="dxa"/>
            <w:tcBorders>
              <w:top w:val="nil"/>
              <w:left w:val="nil"/>
              <w:bottom w:val="single" w:color="auto" w:sz="4" w:space="0"/>
              <w:right w:val="nil"/>
            </w:tcBorders>
            <w:shd w:val="clear" w:color="auto" w:fill="auto"/>
            <w:noWrap/>
            <w:vAlign w:val="bottom"/>
            <w:hideMark/>
          </w:tcPr>
          <w:p w:rsidRPr="00623AC1" w:rsidR="00623AC1" w:rsidP="00623AC1" w:rsidRDefault="00623AC1" w14:paraId="304ECADD" w14:textId="77777777">
            <w:pPr>
              <w:rPr>
                <w:rFonts w:ascii="Arial" w:hAnsi="Arial" w:cs="Arial"/>
                <w:color w:val="000000"/>
                <w:sz w:val="22"/>
                <w:szCs w:val="22"/>
              </w:rPr>
            </w:pPr>
            <w:r w:rsidRPr="00623AC1">
              <w:rPr>
                <w:rFonts w:ascii="Arial" w:hAnsi="Arial" w:cs="Arial"/>
                <w:color w:val="000000"/>
                <w:sz w:val="22"/>
                <w:szCs w:val="22"/>
              </w:rPr>
              <w:t xml:space="preserve">4 bedrooms </w:t>
            </w:r>
          </w:p>
        </w:tc>
        <w:tc>
          <w:tcPr>
            <w:tcW w:w="1985" w:type="dxa"/>
            <w:tcBorders>
              <w:top w:val="nil"/>
              <w:left w:val="single" w:color="auto" w:sz="8" w:space="0"/>
              <w:bottom w:val="single" w:color="auto" w:sz="4" w:space="0"/>
              <w:right w:val="single" w:color="auto" w:sz="8" w:space="0"/>
            </w:tcBorders>
            <w:shd w:val="clear" w:color="auto" w:fill="auto"/>
            <w:noWrap/>
            <w:vAlign w:val="bottom"/>
            <w:hideMark/>
          </w:tcPr>
          <w:p w:rsidRPr="00623AC1" w:rsidR="00623AC1" w:rsidP="00623AC1" w:rsidRDefault="00623AC1" w14:paraId="59C95939" w14:textId="77777777">
            <w:pPr>
              <w:jc w:val="right"/>
              <w:rPr>
                <w:rFonts w:ascii="Arial" w:hAnsi="Arial" w:cs="Arial"/>
                <w:color w:val="000000"/>
                <w:sz w:val="22"/>
                <w:szCs w:val="22"/>
              </w:rPr>
            </w:pPr>
            <w:r w:rsidRPr="00623AC1">
              <w:rPr>
                <w:rFonts w:ascii="Arial" w:hAnsi="Arial" w:cs="Arial"/>
                <w:color w:val="000000"/>
                <w:sz w:val="22"/>
                <w:szCs w:val="22"/>
              </w:rPr>
              <w:t>237</w:t>
            </w:r>
            <w:r w:rsidR="00D87411">
              <w:rPr>
                <w:rFonts w:ascii="Arial" w:hAnsi="Arial" w:cs="Arial"/>
                <w:color w:val="000000"/>
                <w:sz w:val="22"/>
                <w:szCs w:val="22"/>
              </w:rPr>
              <w:t xml:space="preserve"> (4,982)</w:t>
            </w:r>
          </w:p>
        </w:tc>
        <w:tc>
          <w:tcPr>
            <w:tcW w:w="2593" w:type="dxa"/>
            <w:tcBorders>
              <w:top w:val="nil"/>
              <w:left w:val="nil"/>
              <w:bottom w:val="single" w:color="auto" w:sz="4" w:space="0"/>
              <w:right w:val="single" w:color="auto" w:sz="8" w:space="0"/>
            </w:tcBorders>
            <w:shd w:val="clear" w:color="auto" w:fill="auto"/>
            <w:noWrap/>
            <w:vAlign w:val="bottom"/>
            <w:hideMark/>
          </w:tcPr>
          <w:p w:rsidRPr="00623AC1" w:rsidR="00623AC1" w:rsidP="00623AC1" w:rsidRDefault="00623AC1" w14:paraId="1C70D0DA" w14:textId="77777777">
            <w:pPr>
              <w:jc w:val="right"/>
              <w:rPr>
                <w:rFonts w:ascii="Arial" w:hAnsi="Arial" w:cs="Arial"/>
                <w:color w:val="000000"/>
                <w:sz w:val="22"/>
                <w:szCs w:val="22"/>
              </w:rPr>
            </w:pPr>
            <w:r w:rsidRPr="00623AC1">
              <w:rPr>
                <w:rFonts w:ascii="Arial" w:hAnsi="Arial" w:cs="Arial"/>
                <w:color w:val="000000"/>
                <w:sz w:val="22"/>
                <w:szCs w:val="22"/>
              </w:rPr>
              <w:t>31</w:t>
            </w:r>
            <w:r w:rsidR="00D87411">
              <w:rPr>
                <w:rFonts w:ascii="Arial" w:hAnsi="Arial" w:cs="Arial"/>
                <w:color w:val="000000"/>
                <w:sz w:val="22"/>
                <w:szCs w:val="22"/>
              </w:rPr>
              <w:t xml:space="preserve"> (661)</w:t>
            </w:r>
          </w:p>
        </w:tc>
        <w:tc>
          <w:tcPr>
            <w:tcW w:w="1540" w:type="dxa"/>
            <w:tcBorders>
              <w:top w:val="nil"/>
              <w:left w:val="nil"/>
              <w:bottom w:val="single" w:color="auto" w:sz="4" w:space="0"/>
              <w:right w:val="single" w:color="auto" w:sz="8" w:space="0"/>
            </w:tcBorders>
            <w:shd w:val="clear" w:color="auto" w:fill="auto"/>
            <w:noWrap/>
            <w:vAlign w:val="bottom"/>
            <w:hideMark/>
          </w:tcPr>
          <w:p w:rsidRPr="00A659D1" w:rsidR="00623AC1" w:rsidP="00623AC1" w:rsidRDefault="00A659D1" w14:paraId="2F08F950" w14:textId="77777777">
            <w:pPr>
              <w:jc w:val="right"/>
              <w:rPr>
                <w:rFonts w:ascii="Arial" w:hAnsi="Arial" w:cs="Arial"/>
                <w:color w:val="000000"/>
                <w:sz w:val="22"/>
                <w:szCs w:val="22"/>
              </w:rPr>
            </w:pPr>
            <w:r w:rsidRPr="00A659D1">
              <w:rPr>
                <w:rFonts w:ascii="Arial" w:hAnsi="Arial" w:cs="Arial"/>
                <w:color w:val="000000"/>
                <w:sz w:val="22"/>
                <w:szCs w:val="22"/>
              </w:rPr>
              <w:t>268</w:t>
            </w:r>
            <w:r w:rsidR="00D87411">
              <w:rPr>
                <w:rFonts w:ascii="Arial" w:hAnsi="Arial" w:cs="Arial"/>
                <w:color w:val="000000"/>
                <w:sz w:val="22"/>
                <w:szCs w:val="22"/>
              </w:rPr>
              <w:t xml:space="preserve"> (5,642)</w:t>
            </w:r>
          </w:p>
        </w:tc>
      </w:tr>
      <w:tr w:rsidRPr="00623AC1" w:rsidR="00623AC1" w:rsidTr="00700C37" w14:paraId="029D6101" w14:textId="77777777">
        <w:trPr>
          <w:cantSplit/>
          <w:trHeight w:val="315"/>
          <w:tblHeader/>
        </w:trPr>
        <w:tc>
          <w:tcPr>
            <w:tcW w:w="889" w:type="dxa"/>
            <w:vMerge/>
            <w:tcBorders>
              <w:top w:val="nil"/>
              <w:left w:val="single" w:color="auto" w:sz="8" w:space="0"/>
              <w:bottom w:val="single" w:color="000000" w:sz="8" w:space="0"/>
              <w:right w:val="single" w:color="auto" w:sz="8" w:space="0"/>
            </w:tcBorders>
            <w:vAlign w:val="center"/>
            <w:hideMark/>
          </w:tcPr>
          <w:p w:rsidRPr="00623AC1" w:rsidR="00623AC1" w:rsidP="00623AC1" w:rsidRDefault="00623AC1" w14:paraId="756FAA64" w14:textId="77777777">
            <w:pPr>
              <w:rPr>
                <w:rFonts w:ascii="Arial" w:hAnsi="Arial" w:cs="Arial"/>
                <w:b/>
                <w:bCs/>
                <w:color w:val="000000"/>
                <w:sz w:val="22"/>
                <w:szCs w:val="22"/>
              </w:rPr>
            </w:pPr>
          </w:p>
        </w:tc>
        <w:tc>
          <w:tcPr>
            <w:tcW w:w="1559" w:type="dxa"/>
            <w:tcBorders>
              <w:top w:val="nil"/>
              <w:left w:val="nil"/>
              <w:bottom w:val="single" w:color="auto" w:sz="8" w:space="0"/>
              <w:right w:val="nil"/>
            </w:tcBorders>
            <w:shd w:val="clear" w:color="auto" w:fill="auto"/>
            <w:noWrap/>
            <w:vAlign w:val="bottom"/>
            <w:hideMark/>
          </w:tcPr>
          <w:p w:rsidRPr="00623AC1" w:rsidR="00623AC1" w:rsidP="00623AC1" w:rsidRDefault="00623AC1" w14:paraId="57E8C1C0" w14:textId="77777777">
            <w:pPr>
              <w:rPr>
                <w:rFonts w:ascii="Arial" w:hAnsi="Arial" w:cs="Arial"/>
                <w:color w:val="000000"/>
                <w:sz w:val="22"/>
                <w:szCs w:val="22"/>
              </w:rPr>
            </w:pPr>
            <w:r w:rsidRPr="00623AC1">
              <w:rPr>
                <w:rFonts w:ascii="Arial" w:hAnsi="Arial" w:cs="Arial"/>
                <w:color w:val="000000"/>
                <w:sz w:val="22"/>
                <w:szCs w:val="22"/>
              </w:rPr>
              <w:t xml:space="preserve">5+ bedrooms </w:t>
            </w:r>
          </w:p>
        </w:tc>
        <w:tc>
          <w:tcPr>
            <w:tcW w:w="1985" w:type="dxa"/>
            <w:tcBorders>
              <w:top w:val="nil"/>
              <w:left w:val="single" w:color="auto" w:sz="8" w:space="0"/>
              <w:bottom w:val="single" w:color="auto" w:sz="8" w:space="0"/>
              <w:right w:val="single" w:color="auto" w:sz="8" w:space="0"/>
            </w:tcBorders>
            <w:shd w:val="clear" w:color="auto" w:fill="auto"/>
            <w:noWrap/>
            <w:vAlign w:val="bottom"/>
            <w:hideMark/>
          </w:tcPr>
          <w:p w:rsidRPr="00623AC1" w:rsidR="00623AC1" w:rsidP="00623AC1" w:rsidRDefault="00623AC1" w14:paraId="175DD3AB" w14:textId="77777777">
            <w:pPr>
              <w:jc w:val="right"/>
              <w:rPr>
                <w:rFonts w:ascii="Arial" w:hAnsi="Arial" w:cs="Arial"/>
                <w:color w:val="000000"/>
                <w:sz w:val="22"/>
                <w:szCs w:val="22"/>
              </w:rPr>
            </w:pPr>
            <w:r w:rsidRPr="00623AC1">
              <w:rPr>
                <w:rFonts w:ascii="Arial" w:hAnsi="Arial" w:cs="Arial"/>
                <w:color w:val="000000"/>
                <w:sz w:val="22"/>
                <w:szCs w:val="22"/>
              </w:rPr>
              <w:t>58</w:t>
            </w:r>
            <w:r w:rsidR="00D87411">
              <w:rPr>
                <w:rFonts w:ascii="Arial" w:hAnsi="Arial" w:cs="Arial"/>
                <w:color w:val="000000"/>
                <w:sz w:val="22"/>
                <w:szCs w:val="22"/>
              </w:rPr>
              <w:t xml:space="preserve"> (1,215)</w:t>
            </w:r>
          </w:p>
        </w:tc>
        <w:tc>
          <w:tcPr>
            <w:tcW w:w="2593" w:type="dxa"/>
            <w:tcBorders>
              <w:top w:val="nil"/>
              <w:left w:val="nil"/>
              <w:bottom w:val="single" w:color="auto" w:sz="8" w:space="0"/>
              <w:right w:val="single" w:color="auto" w:sz="8" w:space="0"/>
            </w:tcBorders>
            <w:shd w:val="clear" w:color="auto" w:fill="auto"/>
            <w:noWrap/>
            <w:vAlign w:val="bottom"/>
            <w:hideMark/>
          </w:tcPr>
          <w:p w:rsidRPr="00623AC1" w:rsidR="00623AC1" w:rsidP="00623AC1" w:rsidRDefault="00623AC1" w14:paraId="058E16B3" w14:textId="77777777">
            <w:pPr>
              <w:jc w:val="right"/>
              <w:rPr>
                <w:rFonts w:ascii="Arial" w:hAnsi="Arial" w:cs="Arial"/>
                <w:color w:val="000000"/>
                <w:sz w:val="22"/>
                <w:szCs w:val="22"/>
              </w:rPr>
            </w:pPr>
            <w:r w:rsidRPr="00623AC1">
              <w:rPr>
                <w:rFonts w:ascii="Arial" w:hAnsi="Arial" w:cs="Arial"/>
                <w:color w:val="000000"/>
                <w:sz w:val="22"/>
                <w:szCs w:val="22"/>
              </w:rPr>
              <w:t>7</w:t>
            </w:r>
            <w:r w:rsidR="00D87411">
              <w:rPr>
                <w:rFonts w:ascii="Arial" w:hAnsi="Arial" w:cs="Arial"/>
                <w:color w:val="000000"/>
                <w:sz w:val="22"/>
                <w:szCs w:val="22"/>
              </w:rPr>
              <w:t xml:space="preserve"> (140)</w:t>
            </w:r>
          </w:p>
        </w:tc>
        <w:tc>
          <w:tcPr>
            <w:tcW w:w="1540" w:type="dxa"/>
            <w:tcBorders>
              <w:top w:val="nil"/>
              <w:left w:val="nil"/>
              <w:bottom w:val="single" w:color="auto" w:sz="8" w:space="0"/>
              <w:right w:val="single" w:color="auto" w:sz="8" w:space="0"/>
            </w:tcBorders>
            <w:shd w:val="clear" w:color="auto" w:fill="auto"/>
            <w:noWrap/>
            <w:vAlign w:val="bottom"/>
            <w:hideMark/>
          </w:tcPr>
          <w:p w:rsidRPr="00A659D1" w:rsidR="00623AC1" w:rsidP="00623AC1" w:rsidRDefault="00623AC1" w14:paraId="370980C2" w14:textId="77777777">
            <w:pPr>
              <w:jc w:val="right"/>
              <w:rPr>
                <w:rFonts w:ascii="Arial" w:hAnsi="Arial" w:cs="Arial"/>
                <w:color w:val="000000"/>
                <w:sz w:val="22"/>
                <w:szCs w:val="22"/>
              </w:rPr>
            </w:pPr>
            <w:r w:rsidRPr="00A659D1">
              <w:rPr>
                <w:rFonts w:ascii="Arial" w:hAnsi="Arial" w:cs="Arial"/>
                <w:color w:val="000000"/>
                <w:sz w:val="22"/>
                <w:szCs w:val="22"/>
              </w:rPr>
              <w:t>65</w:t>
            </w:r>
            <w:r w:rsidR="00D87411">
              <w:rPr>
                <w:rFonts w:ascii="Arial" w:hAnsi="Arial" w:cs="Arial"/>
                <w:color w:val="000000"/>
                <w:sz w:val="22"/>
                <w:szCs w:val="22"/>
              </w:rPr>
              <w:t xml:space="preserve"> (1,355)</w:t>
            </w:r>
          </w:p>
        </w:tc>
      </w:tr>
      <w:tr w:rsidRPr="00623AC1" w:rsidR="009776C6" w:rsidTr="00700C37" w14:paraId="1ED23D8F" w14:textId="77777777">
        <w:trPr>
          <w:cantSplit/>
          <w:trHeight w:val="503"/>
          <w:tblHeader/>
        </w:trPr>
        <w:tc>
          <w:tcPr>
            <w:tcW w:w="2448" w:type="dxa"/>
            <w:gridSpan w:val="2"/>
            <w:tcBorders>
              <w:top w:val="single" w:color="auto" w:sz="8" w:space="0"/>
              <w:left w:val="single" w:color="auto" w:sz="8" w:space="0"/>
              <w:bottom w:val="single" w:color="auto" w:sz="8" w:space="0"/>
              <w:right w:val="single" w:color="auto" w:sz="8" w:space="0"/>
            </w:tcBorders>
            <w:shd w:val="clear" w:color="auto" w:fill="auto"/>
            <w:noWrap/>
            <w:vAlign w:val="bottom"/>
            <w:hideMark/>
          </w:tcPr>
          <w:p w:rsidRPr="00623AC1" w:rsidR="009776C6" w:rsidP="00623AC1" w:rsidRDefault="009776C6" w14:paraId="6A9F24A0" w14:textId="77777777">
            <w:pPr>
              <w:rPr>
                <w:rFonts w:ascii="Arial" w:hAnsi="Arial" w:cs="Arial"/>
                <w:b/>
                <w:bCs/>
                <w:color w:val="000000"/>
                <w:sz w:val="22"/>
                <w:szCs w:val="22"/>
              </w:rPr>
            </w:pPr>
            <w:r>
              <w:rPr>
                <w:rFonts w:ascii="Arial" w:hAnsi="Arial" w:cs="Arial"/>
                <w:b/>
                <w:bCs/>
                <w:color w:val="000000"/>
                <w:sz w:val="22"/>
                <w:szCs w:val="22"/>
              </w:rPr>
              <w:t>Total per year (avg.)</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bottom"/>
          </w:tcPr>
          <w:p w:rsidRPr="00623AC1" w:rsidR="009776C6" w:rsidP="00623AC1" w:rsidRDefault="009776C6" w14:paraId="764CEFFB" w14:textId="77777777">
            <w:pPr>
              <w:jc w:val="right"/>
              <w:rPr>
                <w:rFonts w:ascii="Arial" w:hAnsi="Arial" w:cs="Arial"/>
                <w:b/>
                <w:bCs/>
                <w:color w:val="000000"/>
                <w:sz w:val="22"/>
                <w:szCs w:val="22"/>
              </w:rPr>
            </w:pPr>
            <w:r w:rsidRPr="00623AC1">
              <w:rPr>
                <w:rFonts w:ascii="Arial" w:hAnsi="Arial" w:cs="Arial"/>
                <w:b/>
                <w:bCs/>
                <w:color w:val="000000"/>
                <w:sz w:val="22"/>
                <w:szCs w:val="22"/>
              </w:rPr>
              <w:t>1</w:t>
            </w:r>
            <w:r w:rsidR="00C02886">
              <w:rPr>
                <w:rFonts w:ascii="Arial" w:hAnsi="Arial" w:cs="Arial"/>
                <w:b/>
                <w:bCs/>
                <w:color w:val="000000"/>
                <w:sz w:val="22"/>
                <w:szCs w:val="22"/>
              </w:rPr>
              <w:t>,</w:t>
            </w:r>
            <w:r w:rsidRPr="00623AC1">
              <w:rPr>
                <w:rFonts w:ascii="Arial" w:hAnsi="Arial" w:cs="Arial"/>
                <w:b/>
                <w:bCs/>
                <w:color w:val="000000"/>
                <w:sz w:val="22"/>
                <w:szCs w:val="22"/>
              </w:rPr>
              <w:t>3</w:t>
            </w:r>
            <w:r w:rsidR="00B04328">
              <w:rPr>
                <w:rFonts w:ascii="Arial" w:hAnsi="Arial" w:cs="Arial"/>
                <w:b/>
                <w:bCs/>
                <w:color w:val="000000"/>
                <w:sz w:val="22"/>
                <w:szCs w:val="22"/>
              </w:rPr>
              <w:t>55</w:t>
            </w:r>
          </w:p>
        </w:tc>
        <w:tc>
          <w:tcPr>
            <w:tcW w:w="2593" w:type="dxa"/>
            <w:tcBorders>
              <w:top w:val="single" w:color="auto" w:sz="8" w:space="0"/>
              <w:left w:val="single" w:color="auto" w:sz="8" w:space="0"/>
              <w:bottom w:val="single" w:color="auto" w:sz="8" w:space="0"/>
              <w:right w:val="single" w:color="auto" w:sz="8" w:space="0"/>
            </w:tcBorders>
            <w:shd w:val="clear" w:color="auto" w:fill="auto"/>
            <w:vAlign w:val="bottom"/>
          </w:tcPr>
          <w:p w:rsidRPr="00623AC1" w:rsidR="009776C6" w:rsidP="00623AC1" w:rsidRDefault="009776C6" w14:paraId="009F6992" w14:textId="77777777">
            <w:pPr>
              <w:jc w:val="right"/>
              <w:rPr>
                <w:rFonts w:ascii="Arial" w:hAnsi="Arial" w:cs="Arial"/>
                <w:b/>
                <w:bCs/>
                <w:color w:val="000000"/>
                <w:sz w:val="22"/>
                <w:szCs w:val="22"/>
              </w:rPr>
            </w:pPr>
            <w:r w:rsidRPr="00623AC1">
              <w:rPr>
                <w:rFonts w:ascii="Arial" w:hAnsi="Arial" w:cs="Arial"/>
                <w:b/>
                <w:bCs/>
                <w:color w:val="000000"/>
                <w:sz w:val="22"/>
                <w:szCs w:val="22"/>
              </w:rPr>
              <w:t>525</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bottom"/>
          </w:tcPr>
          <w:p w:rsidRPr="00A659D1" w:rsidR="009776C6" w:rsidP="00623AC1" w:rsidRDefault="009776C6" w14:paraId="7EA1C367" w14:textId="77777777">
            <w:pPr>
              <w:jc w:val="right"/>
              <w:rPr>
                <w:rFonts w:ascii="Arial" w:hAnsi="Arial" w:cs="Arial"/>
                <w:b/>
                <w:bCs/>
                <w:color w:val="000000"/>
                <w:sz w:val="22"/>
                <w:szCs w:val="22"/>
              </w:rPr>
            </w:pPr>
            <w:r w:rsidRPr="00A659D1">
              <w:rPr>
                <w:rFonts w:ascii="Arial" w:hAnsi="Arial" w:cs="Arial"/>
                <w:b/>
                <w:bCs/>
                <w:color w:val="000000"/>
                <w:sz w:val="22"/>
                <w:szCs w:val="22"/>
              </w:rPr>
              <w:t>1</w:t>
            </w:r>
            <w:r w:rsidR="00C02886">
              <w:rPr>
                <w:rFonts w:ascii="Arial" w:hAnsi="Arial" w:cs="Arial"/>
                <w:b/>
                <w:bCs/>
                <w:color w:val="000000"/>
                <w:sz w:val="22"/>
                <w:szCs w:val="22"/>
              </w:rPr>
              <w:t>,880</w:t>
            </w:r>
          </w:p>
        </w:tc>
      </w:tr>
      <w:tr w:rsidRPr="00623AC1" w:rsidR="009776C6" w:rsidTr="00700C37" w14:paraId="78D481A5" w14:textId="77777777">
        <w:trPr>
          <w:cantSplit/>
          <w:trHeight w:val="502"/>
          <w:tblHeader/>
        </w:trPr>
        <w:tc>
          <w:tcPr>
            <w:tcW w:w="2448" w:type="dxa"/>
            <w:gridSpan w:val="2"/>
            <w:tcBorders>
              <w:top w:val="single" w:color="auto" w:sz="8" w:space="0"/>
              <w:left w:val="single" w:color="auto" w:sz="8" w:space="0"/>
              <w:bottom w:val="single" w:color="auto" w:sz="8" w:space="0"/>
              <w:right w:val="single" w:color="auto" w:sz="8" w:space="0"/>
            </w:tcBorders>
            <w:shd w:val="clear" w:color="auto" w:fill="auto"/>
            <w:noWrap/>
            <w:vAlign w:val="bottom"/>
          </w:tcPr>
          <w:p w:rsidRPr="00623AC1" w:rsidR="009776C6" w:rsidP="00623AC1" w:rsidRDefault="009776C6" w14:paraId="02904EA0" w14:textId="77777777">
            <w:pPr>
              <w:rPr>
                <w:rFonts w:ascii="Arial" w:hAnsi="Arial" w:cs="Arial"/>
                <w:b/>
                <w:bCs/>
                <w:color w:val="000000"/>
                <w:sz w:val="22"/>
                <w:szCs w:val="22"/>
              </w:rPr>
            </w:pPr>
            <w:r>
              <w:rPr>
                <w:rFonts w:ascii="Arial" w:hAnsi="Arial" w:cs="Arial"/>
                <w:b/>
                <w:bCs/>
                <w:color w:val="000000"/>
                <w:sz w:val="22"/>
                <w:szCs w:val="22"/>
              </w:rPr>
              <w:t>Total for period of SHMA</w:t>
            </w:r>
          </w:p>
        </w:tc>
        <w:tc>
          <w:tcPr>
            <w:tcW w:w="1985" w:type="dxa"/>
            <w:tcBorders>
              <w:top w:val="single" w:color="auto" w:sz="8" w:space="0"/>
              <w:left w:val="single" w:color="auto" w:sz="8" w:space="0"/>
              <w:bottom w:val="single" w:color="auto" w:sz="8" w:space="0"/>
              <w:right w:val="single" w:color="auto" w:sz="8" w:space="0"/>
            </w:tcBorders>
            <w:shd w:val="clear" w:color="auto" w:fill="auto"/>
            <w:vAlign w:val="bottom"/>
          </w:tcPr>
          <w:p w:rsidRPr="00623AC1" w:rsidR="009776C6" w:rsidP="0090450C" w:rsidRDefault="0090450C" w14:paraId="75250206" w14:textId="77777777">
            <w:pPr>
              <w:jc w:val="right"/>
              <w:rPr>
                <w:rFonts w:ascii="Arial" w:hAnsi="Arial" w:cs="Arial"/>
                <w:b/>
                <w:bCs/>
                <w:color w:val="000000"/>
                <w:sz w:val="22"/>
                <w:szCs w:val="22"/>
              </w:rPr>
            </w:pPr>
            <w:r>
              <w:rPr>
                <w:rFonts w:ascii="Arial" w:hAnsi="Arial" w:cs="Arial"/>
                <w:b/>
                <w:bCs/>
                <w:color w:val="000000"/>
                <w:sz w:val="22"/>
                <w:szCs w:val="22"/>
              </w:rPr>
              <w:t>28,456</w:t>
            </w:r>
          </w:p>
        </w:tc>
        <w:tc>
          <w:tcPr>
            <w:tcW w:w="2593" w:type="dxa"/>
            <w:tcBorders>
              <w:top w:val="single" w:color="auto" w:sz="8" w:space="0"/>
              <w:left w:val="single" w:color="auto" w:sz="8" w:space="0"/>
              <w:bottom w:val="single" w:color="auto" w:sz="8" w:space="0"/>
              <w:right w:val="single" w:color="auto" w:sz="8" w:space="0"/>
            </w:tcBorders>
            <w:shd w:val="clear" w:color="auto" w:fill="auto"/>
            <w:vAlign w:val="bottom"/>
          </w:tcPr>
          <w:p w:rsidRPr="00623AC1" w:rsidR="009776C6" w:rsidP="0090450C" w:rsidRDefault="0090450C" w14:paraId="27CB9F56" w14:textId="77777777">
            <w:pPr>
              <w:jc w:val="right"/>
              <w:rPr>
                <w:rFonts w:ascii="Arial" w:hAnsi="Arial" w:cs="Arial"/>
                <w:b/>
                <w:bCs/>
                <w:color w:val="000000"/>
                <w:sz w:val="22"/>
                <w:szCs w:val="22"/>
              </w:rPr>
            </w:pPr>
            <w:r>
              <w:rPr>
                <w:rFonts w:ascii="Arial" w:hAnsi="Arial" w:cs="Arial"/>
                <w:b/>
                <w:bCs/>
                <w:color w:val="000000"/>
                <w:sz w:val="22"/>
                <w:szCs w:val="22"/>
              </w:rPr>
              <w:t>11,030</w:t>
            </w:r>
          </w:p>
        </w:tc>
        <w:tc>
          <w:tcPr>
            <w:tcW w:w="1540" w:type="dxa"/>
            <w:tcBorders>
              <w:top w:val="single" w:color="auto" w:sz="8" w:space="0"/>
              <w:left w:val="single" w:color="auto" w:sz="8" w:space="0"/>
              <w:bottom w:val="single" w:color="auto" w:sz="8" w:space="0"/>
              <w:right w:val="single" w:color="auto" w:sz="8" w:space="0"/>
            </w:tcBorders>
            <w:shd w:val="clear" w:color="auto" w:fill="auto"/>
            <w:vAlign w:val="bottom"/>
          </w:tcPr>
          <w:p w:rsidRPr="00623AC1" w:rsidR="009776C6" w:rsidP="0090450C" w:rsidRDefault="0090450C" w14:paraId="49AC7A16" w14:textId="77777777">
            <w:pPr>
              <w:jc w:val="right"/>
              <w:rPr>
                <w:rFonts w:ascii="Arial" w:hAnsi="Arial" w:cs="Arial"/>
                <w:b/>
                <w:bCs/>
                <w:color w:val="000000"/>
                <w:sz w:val="22"/>
                <w:szCs w:val="22"/>
              </w:rPr>
            </w:pPr>
            <w:r>
              <w:rPr>
                <w:rFonts w:ascii="Arial" w:hAnsi="Arial" w:cs="Arial"/>
                <w:b/>
                <w:bCs/>
                <w:color w:val="000000"/>
                <w:sz w:val="22"/>
                <w:szCs w:val="22"/>
              </w:rPr>
              <w:t>39,486</w:t>
            </w:r>
          </w:p>
        </w:tc>
      </w:tr>
    </w:tbl>
    <w:p w:rsidRPr="008422DE" w:rsidR="00623AC1" w:rsidP="00623AC1" w:rsidRDefault="008422DE" w14:paraId="0B7E871D" w14:textId="77777777">
      <w:pPr>
        <w:rPr>
          <w:rFonts w:ascii="Arial" w:hAnsi="Arial" w:cs="Arial"/>
          <w:sz w:val="16"/>
          <w:szCs w:val="16"/>
        </w:rPr>
      </w:pPr>
      <w:r w:rsidRPr="008422DE">
        <w:rPr>
          <w:rFonts w:ascii="Arial" w:hAnsi="Arial" w:cs="Arial"/>
          <w:sz w:val="16"/>
          <w:szCs w:val="16"/>
        </w:rPr>
        <w:t>Table 4</w:t>
      </w:r>
      <w:r w:rsidR="00FD7BA7">
        <w:rPr>
          <w:rFonts w:ascii="Arial" w:hAnsi="Arial" w:cs="Arial"/>
          <w:sz w:val="16"/>
          <w:szCs w:val="16"/>
        </w:rPr>
        <w:t>:</w:t>
      </w:r>
      <w:r w:rsidRPr="008422DE">
        <w:rPr>
          <w:rFonts w:ascii="Arial" w:hAnsi="Arial" w:cs="Arial"/>
          <w:sz w:val="16"/>
          <w:szCs w:val="16"/>
        </w:rPr>
        <w:t xml:space="preserve"> </w:t>
      </w:r>
      <w:r w:rsidRPr="008422DE" w:rsidR="00623AC1">
        <w:rPr>
          <w:rFonts w:ascii="Arial" w:hAnsi="Arial" w:cs="Arial"/>
          <w:sz w:val="16"/>
          <w:szCs w:val="16"/>
        </w:rPr>
        <w:t>Source: Fig 83 Centra</w:t>
      </w:r>
      <w:r w:rsidR="00767512">
        <w:rPr>
          <w:rFonts w:ascii="Arial" w:hAnsi="Arial" w:cs="Arial"/>
          <w:sz w:val="16"/>
          <w:szCs w:val="16"/>
        </w:rPr>
        <w:t>l Norfolk SHMA 2017 (annualised, figures rounded)</w:t>
      </w:r>
    </w:p>
    <w:p w:rsidRPr="00623AC1" w:rsidR="00623AC1" w:rsidP="00623AC1" w:rsidRDefault="00623AC1" w14:paraId="101213DE" w14:textId="77777777">
      <w:pPr>
        <w:rPr>
          <w:rFonts w:ascii="Arial" w:hAnsi="Arial" w:cs="Arial"/>
        </w:rPr>
      </w:pPr>
    </w:p>
    <w:p w:rsidRPr="00623AC1" w:rsidR="00623AC1" w:rsidP="00007A21" w:rsidRDefault="00623AC1" w14:paraId="2090E532" w14:textId="77777777">
      <w:pPr>
        <w:rPr>
          <w:rFonts w:ascii="Arial" w:hAnsi="Arial" w:cs="Arial"/>
        </w:rPr>
      </w:pPr>
      <w:r w:rsidRPr="00623AC1">
        <w:rPr>
          <w:rFonts w:ascii="Arial" w:hAnsi="Arial" w:cs="Arial"/>
        </w:rPr>
        <w:t>The affordable housing is further split into affordable housing for rent and for low cost home ownership as follows:</w:t>
      </w:r>
    </w:p>
    <w:p w:rsidRPr="00623AC1" w:rsidR="00A45E5E" w:rsidP="00623AC1" w:rsidRDefault="00A45E5E" w14:paraId="71B575D2" w14:textId="77777777">
      <w:pPr>
        <w:rPr>
          <w:rFonts w:ascii="Arial" w:hAnsi="Arial" w:cs="Arial"/>
        </w:rPr>
      </w:pPr>
    </w:p>
    <w:tbl>
      <w:tblPr>
        <w:tblW w:w="8505" w:type="dxa"/>
        <w:tblInd w:w="108" w:type="dxa"/>
        <w:tblLook w:val="04A0" w:firstRow="1" w:lastRow="0" w:firstColumn="1" w:lastColumn="0" w:noHBand="0" w:noVBand="1"/>
      </w:tblPr>
      <w:tblGrid>
        <w:gridCol w:w="858"/>
        <w:gridCol w:w="1576"/>
        <w:gridCol w:w="1984"/>
        <w:gridCol w:w="2552"/>
        <w:gridCol w:w="1535"/>
      </w:tblGrid>
      <w:tr w:rsidRPr="00623AC1" w:rsidR="00623AC1" w:rsidTr="00700C37" w14:paraId="730C3F49" w14:textId="77777777">
        <w:trPr>
          <w:cantSplit/>
          <w:trHeight w:val="239"/>
          <w:tblHeader/>
        </w:trPr>
        <w:tc>
          <w:tcPr>
            <w:tcW w:w="2434" w:type="dxa"/>
            <w:gridSpan w:val="2"/>
            <w:tcBorders>
              <w:top w:val="single" w:color="auto" w:sz="8" w:space="0"/>
              <w:left w:val="single" w:color="auto" w:sz="8" w:space="0"/>
              <w:bottom w:val="single" w:color="auto" w:sz="8" w:space="0"/>
              <w:right w:val="single" w:color="000000" w:sz="8" w:space="0"/>
            </w:tcBorders>
            <w:shd w:val="clear" w:color="auto" w:fill="F2F2F2" w:themeFill="background1" w:themeFillShade="F2"/>
            <w:noWrap/>
            <w:vAlign w:val="bottom"/>
            <w:hideMark/>
          </w:tcPr>
          <w:p w:rsidRPr="00623AC1" w:rsidR="00623AC1" w:rsidP="00623AC1" w:rsidRDefault="00623AC1" w14:paraId="5975DE24" w14:textId="77777777">
            <w:pPr>
              <w:rPr>
                <w:rFonts w:ascii="Arial" w:hAnsi="Arial" w:cs="Arial"/>
                <w:b/>
                <w:bCs/>
                <w:color w:val="000000"/>
                <w:sz w:val="22"/>
                <w:szCs w:val="22"/>
              </w:rPr>
            </w:pPr>
            <w:r w:rsidRPr="00623AC1">
              <w:rPr>
                <w:rFonts w:ascii="Arial" w:hAnsi="Arial" w:cs="Arial"/>
                <w:b/>
                <w:bCs/>
                <w:color w:val="000000"/>
                <w:sz w:val="22"/>
                <w:szCs w:val="22"/>
              </w:rPr>
              <w:lastRenderedPageBreak/>
              <w:t>G</w:t>
            </w:r>
            <w:r w:rsidR="003B3EFA">
              <w:rPr>
                <w:rFonts w:ascii="Arial" w:hAnsi="Arial" w:cs="Arial"/>
                <w:b/>
                <w:bCs/>
                <w:color w:val="000000"/>
                <w:sz w:val="22"/>
                <w:szCs w:val="22"/>
              </w:rPr>
              <w:t>reater Norwich</w:t>
            </w:r>
          </w:p>
        </w:tc>
        <w:tc>
          <w:tcPr>
            <w:tcW w:w="1984" w:type="dxa"/>
            <w:tcBorders>
              <w:top w:val="single" w:color="auto" w:sz="8" w:space="0"/>
              <w:left w:val="nil"/>
              <w:bottom w:val="single" w:color="auto" w:sz="8" w:space="0"/>
              <w:right w:val="single" w:color="auto" w:sz="8" w:space="0"/>
            </w:tcBorders>
            <w:shd w:val="clear" w:color="auto" w:fill="F2F2F2" w:themeFill="background1" w:themeFillShade="F2"/>
            <w:noWrap/>
            <w:vAlign w:val="bottom"/>
            <w:hideMark/>
          </w:tcPr>
          <w:p w:rsidRPr="00623AC1" w:rsidR="00623AC1" w:rsidP="00623AC1" w:rsidRDefault="002E60E0" w14:paraId="19D7F7CD" w14:textId="77777777">
            <w:pPr>
              <w:rPr>
                <w:rFonts w:ascii="Arial" w:hAnsi="Arial" w:cs="Arial"/>
                <w:b/>
                <w:bCs/>
                <w:color w:val="000000"/>
                <w:sz w:val="22"/>
                <w:szCs w:val="22"/>
              </w:rPr>
            </w:pPr>
            <w:r>
              <w:rPr>
                <w:rFonts w:ascii="Arial" w:hAnsi="Arial" w:cs="Arial"/>
                <w:b/>
                <w:bCs/>
                <w:color w:val="000000"/>
                <w:sz w:val="22"/>
                <w:szCs w:val="22"/>
              </w:rPr>
              <w:t>Affordable Housing for R</w:t>
            </w:r>
            <w:r w:rsidRPr="00623AC1" w:rsidR="00623AC1">
              <w:rPr>
                <w:rFonts w:ascii="Arial" w:hAnsi="Arial" w:cs="Arial"/>
                <w:b/>
                <w:bCs/>
                <w:color w:val="000000"/>
                <w:sz w:val="22"/>
                <w:szCs w:val="22"/>
              </w:rPr>
              <w:t>ent</w:t>
            </w:r>
          </w:p>
        </w:tc>
        <w:tc>
          <w:tcPr>
            <w:tcW w:w="2552" w:type="dxa"/>
            <w:tcBorders>
              <w:top w:val="single" w:color="auto" w:sz="8" w:space="0"/>
              <w:left w:val="nil"/>
              <w:bottom w:val="single" w:color="auto" w:sz="8" w:space="0"/>
              <w:right w:val="single" w:color="auto" w:sz="8" w:space="0"/>
            </w:tcBorders>
            <w:shd w:val="clear" w:color="auto" w:fill="F2F2F2" w:themeFill="background1" w:themeFillShade="F2"/>
            <w:noWrap/>
            <w:vAlign w:val="bottom"/>
            <w:hideMark/>
          </w:tcPr>
          <w:p w:rsidRPr="00623AC1" w:rsidR="00623AC1" w:rsidP="00623AC1" w:rsidRDefault="002E60E0" w14:paraId="0D4A3C75" w14:textId="77777777">
            <w:pPr>
              <w:rPr>
                <w:rFonts w:ascii="Arial" w:hAnsi="Arial" w:cs="Arial"/>
                <w:b/>
                <w:bCs/>
                <w:color w:val="000000"/>
                <w:sz w:val="22"/>
                <w:szCs w:val="22"/>
              </w:rPr>
            </w:pPr>
            <w:r>
              <w:rPr>
                <w:rFonts w:ascii="Arial" w:hAnsi="Arial" w:cs="Arial"/>
                <w:b/>
                <w:bCs/>
                <w:color w:val="000000"/>
                <w:sz w:val="22"/>
                <w:szCs w:val="22"/>
              </w:rPr>
              <w:t>Low Cost Home O</w:t>
            </w:r>
            <w:r w:rsidRPr="00623AC1" w:rsidR="00623AC1">
              <w:rPr>
                <w:rFonts w:ascii="Arial" w:hAnsi="Arial" w:cs="Arial"/>
                <w:b/>
                <w:bCs/>
                <w:color w:val="000000"/>
                <w:sz w:val="22"/>
                <w:szCs w:val="22"/>
              </w:rPr>
              <w:t>wnership</w:t>
            </w:r>
          </w:p>
        </w:tc>
        <w:tc>
          <w:tcPr>
            <w:tcW w:w="1535" w:type="dxa"/>
            <w:tcBorders>
              <w:top w:val="single" w:color="auto" w:sz="8" w:space="0"/>
              <w:left w:val="nil"/>
              <w:bottom w:val="single" w:color="auto" w:sz="8" w:space="0"/>
              <w:right w:val="single" w:color="auto" w:sz="8" w:space="0"/>
            </w:tcBorders>
            <w:shd w:val="clear" w:color="auto" w:fill="F2F2F2" w:themeFill="background1" w:themeFillShade="F2"/>
            <w:noWrap/>
            <w:vAlign w:val="bottom"/>
            <w:hideMark/>
          </w:tcPr>
          <w:p w:rsidRPr="00623AC1" w:rsidR="00623AC1" w:rsidP="00623AC1" w:rsidRDefault="00623AC1" w14:paraId="73FE04D4" w14:textId="77777777">
            <w:pPr>
              <w:rPr>
                <w:rFonts w:ascii="Arial" w:hAnsi="Arial" w:cs="Arial"/>
                <w:b/>
                <w:bCs/>
                <w:color w:val="000000"/>
                <w:sz w:val="22"/>
                <w:szCs w:val="22"/>
              </w:rPr>
            </w:pPr>
            <w:r w:rsidRPr="00623AC1">
              <w:rPr>
                <w:rFonts w:ascii="Arial" w:hAnsi="Arial" w:cs="Arial"/>
                <w:b/>
                <w:bCs/>
                <w:color w:val="000000"/>
                <w:sz w:val="22"/>
                <w:szCs w:val="22"/>
              </w:rPr>
              <w:t>Total</w:t>
            </w:r>
          </w:p>
        </w:tc>
      </w:tr>
      <w:tr w:rsidRPr="00623AC1" w:rsidR="00623AC1" w:rsidTr="00700C37" w14:paraId="28CEA278" w14:textId="77777777">
        <w:trPr>
          <w:cantSplit/>
          <w:trHeight w:val="227"/>
          <w:tblHeader/>
        </w:trPr>
        <w:tc>
          <w:tcPr>
            <w:tcW w:w="858" w:type="dxa"/>
            <w:tcBorders>
              <w:top w:val="nil"/>
              <w:left w:val="single" w:color="auto" w:sz="8" w:space="0"/>
              <w:bottom w:val="single" w:color="auto" w:sz="4" w:space="0"/>
              <w:right w:val="single" w:color="auto" w:sz="8" w:space="0"/>
            </w:tcBorders>
            <w:shd w:val="clear" w:color="auto" w:fill="auto"/>
            <w:vAlign w:val="center"/>
            <w:hideMark/>
          </w:tcPr>
          <w:p w:rsidRPr="00623AC1" w:rsidR="00623AC1" w:rsidP="00623AC1" w:rsidRDefault="00623AC1" w14:paraId="37E4C08B" w14:textId="77777777">
            <w:pPr>
              <w:rPr>
                <w:rFonts w:ascii="Arial" w:hAnsi="Arial" w:cs="Arial"/>
                <w:color w:val="000000"/>
                <w:sz w:val="22"/>
                <w:szCs w:val="22"/>
              </w:rPr>
            </w:pPr>
            <w:r w:rsidRPr="00623AC1">
              <w:rPr>
                <w:rFonts w:ascii="Arial" w:hAnsi="Arial" w:cs="Arial"/>
                <w:color w:val="000000"/>
                <w:sz w:val="22"/>
                <w:szCs w:val="22"/>
              </w:rPr>
              <w:t xml:space="preserve">Flat </w:t>
            </w:r>
          </w:p>
        </w:tc>
        <w:tc>
          <w:tcPr>
            <w:tcW w:w="1576"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5DBB530F" w14:textId="77777777">
            <w:pPr>
              <w:rPr>
                <w:rFonts w:ascii="Arial" w:hAnsi="Arial" w:cs="Arial"/>
                <w:color w:val="000000"/>
                <w:sz w:val="22"/>
                <w:szCs w:val="22"/>
              </w:rPr>
            </w:pPr>
            <w:r w:rsidRPr="00623AC1">
              <w:rPr>
                <w:rFonts w:ascii="Arial" w:hAnsi="Arial" w:cs="Arial"/>
                <w:color w:val="000000"/>
                <w:sz w:val="22"/>
                <w:szCs w:val="22"/>
              </w:rPr>
              <w:t xml:space="preserve">1 bedroom </w:t>
            </w:r>
          </w:p>
        </w:tc>
        <w:tc>
          <w:tcPr>
            <w:tcW w:w="1984"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766E59FC" w14:textId="77777777">
            <w:pPr>
              <w:jc w:val="right"/>
              <w:rPr>
                <w:rFonts w:ascii="Arial" w:hAnsi="Arial" w:cs="Arial"/>
                <w:color w:val="000000"/>
                <w:sz w:val="22"/>
                <w:szCs w:val="22"/>
              </w:rPr>
            </w:pPr>
            <w:r w:rsidRPr="00623AC1">
              <w:rPr>
                <w:rFonts w:ascii="Arial" w:hAnsi="Arial" w:cs="Arial"/>
                <w:color w:val="000000"/>
                <w:sz w:val="22"/>
                <w:szCs w:val="22"/>
              </w:rPr>
              <w:t>118</w:t>
            </w:r>
            <w:r w:rsidR="00B04328">
              <w:rPr>
                <w:rFonts w:ascii="Arial" w:hAnsi="Arial" w:cs="Arial"/>
                <w:color w:val="000000"/>
                <w:sz w:val="22"/>
                <w:szCs w:val="22"/>
              </w:rPr>
              <w:t xml:space="preserve"> (2,488)</w:t>
            </w:r>
          </w:p>
        </w:tc>
        <w:tc>
          <w:tcPr>
            <w:tcW w:w="2552"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027F1C33" w14:textId="77777777">
            <w:pPr>
              <w:jc w:val="right"/>
              <w:rPr>
                <w:rFonts w:ascii="Arial" w:hAnsi="Arial" w:cs="Arial"/>
                <w:color w:val="000000"/>
                <w:sz w:val="22"/>
                <w:szCs w:val="22"/>
              </w:rPr>
            </w:pPr>
            <w:r w:rsidRPr="00623AC1">
              <w:rPr>
                <w:rFonts w:ascii="Arial" w:hAnsi="Arial" w:cs="Arial"/>
                <w:color w:val="000000"/>
                <w:sz w:val="22"/>
                <w:szCs w:val="22"/>
              </w:rPr>
              <w:t>11</w:t>
            </w:r>
            <w:r w:rsidR="00B04328">
              <w:rPr>
                <w:rFonts w:ascii="Arial" w:hAnsi="Arial" w:cs="Arial"/>
                <w:color w:val="000000"/>
                <w:sz w:val="22"/>
                <w:szCs w:val="22"/>
              </w:rPr>
              <w:t xml:space="preserve"> (238)</w:t>
            </w:r>
          </w:p>
        </w:tc>
        <w:tc>
          <w:tcPr>
            <w:tcW w:w="1535" w:type="dxa"/>
            <w:tcBorders>
              <w:top w:val="nil"/>
              <w:left w:val="nil"/>
              <w:bottom w:val="single" w:color="auto" w:sz="4" w:space="0"/>
              <w:right w:val="single" w:color="auto" w:sz="8" w:space="0"/>
            </w:tcBorders>
            <w:shd w:val="clear" w:color="auto" w:fill="auto"/>
            <w:vAlign w:val="center"/>
            <w:hideMark/>
          </w:tcPr>
          <w:p w:rsidRPr="00BE5E59" w:rsidR="00623AC1" w:rsidP="00623AC1" w:rsidRDefault="00BE5E59" w14:paraId="6169898C" w14:textId="77777777">
            <w:pPr>
              <w:jc w:val="right"/>
              <w:rPr>
                <w:rFonts w:ascii="Arial" w:hAnsi="Arial" w:cs="Arial"/>
                <w:color w:val="000000"/>
                <w:sz w:val="22"/>
                <w:szCs w:val="22"/>
              </w:rPr>
            </w:pPr>
            <w:r w:rsidRPr="00BE5E59">
              <w:rPr>
                <w:rFonts w:ascii="Arial" w:hAnsi="Arial" w:cs="Arial"/>
                <w:color w:val="000000"/>
                <w:sz w:val="22"/>
                <w:szCs w:val="22"/>
              </w:rPr>
              <w:t>129</w:t>
            </w:r>
            <w:r w:rsidR="00B04328">
              <w:rPr>
                <w:rFonts w:ascii="Arial" w:hAnsi="Arial" w:cs="Arial"/>
                <w:color w:val="000000"/>
                <w:sz w:val="22"/>
                <w:szCs w:val="22"/>
              </w:rPr>
              <w:t xml:space="preserve"> (2,725)</w:t>
            </w:r>
          </w:p>
        </w:tc>
      </w:tr>
      <w:tr w:rsidRPr="00623AC1" w:rsidR="00623AC1" w:rsidTr="00700C37" w14:paraId="15FE8914" w14:textId="77777777">
        <w:trPr>
          <w:cantSplit/>
          <w:trHeight w:val="227"/>
          <w:tblHeader/>
        </w:trPr>
        <w:tc>
          <w:tcPr>
            <w:tcW w:w="858" w:type="dxa"/>
            <w:tcBorders>
              <w:top w:val="nil"/>
              <w:left w:val="single" w:color="auto" w:sz="8" w:space="0"/>
              <w:bottom w:val="single" w:color="auto" w:sz="4" w:space="0"/>
              <w:right w:val="single" w:color="auto" w:sz="8" w:space="0"/>
            </w:tcBorders>
            <w:shd w:val="clear" w:color="auto" w:fill="auto"/>
            <w:noWrap/>
            <w:vAlign w:val="bottom"/>
            <w:hideMark/>
          </w:tcPr>
          <w:p w:rsidRPr="00623AC1" w:rsidR="00623AC1" w:rsidP="00623AC1" w:rsidRDefault="00623AC1" w14:paraId="1A3BA193" w14:textId="77777777">
            <w:pPr>
              <w:rPr>
                <w:rFonts w:ascii="Arial" w:hAnsi="Arial" w:cs="Arial"/>
                <w:color w:val="000000"/>
                <w:sz w:val="22"/>
                <w:szCs w:val="22"/>
              </w:rPr>
            </w:pPr>
            <w:r w:rsidRPr="00623AC1">
              <w:rPr>
                <w:rFonts w:ascii="Arial" w:hAnsi="Arial" w:cs="Arial"/>
                <w:color w:val="000000"/>
                <w:sz w:val="22"/>
                <w:szCs w:val="22"/>
              </w:rPr>
              <w:t> </w:t>
            </w:r>
          </w:p>
        </w:tc>
        <w:tc>
          <w:tcPr>
            <w:tcW w:w="1576"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7CB23EEB" w14:textId="77777777">
            <w:pPr>
              <w:rPr>
                <w:rFonts w:ascii="Arial" w:hAnsi="Arial" w:cs="Arial"/>
                <w:color w:val="000000"/>
                <w:sz w:val="22"/>
                <w:szCs w:val="22"/>
              </w:rPr>
            </w:pPr>
            <w:r w:rsidRPr="00623AC1">
              <w:rPr>
                <w:rFonts w:ascii="Arial" w:hAnsi="Arial" w:cs="Arial"/>
                <w:color w:val="000000"/>
                <w:sz w:val="22"/>
                <w:szCs w:val="22"/>
              </w:rPr>
              <w:t xml:space="preserve">2+ bedrooms </w:t>
            </w:r>
          </w:p>
        </w:tc>
        <w:tc>
          <w:tcPr>
            <w:tcW w:w="1984"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5D24B841" w14:textId="77777777">
            <w:pPr>
              <w:jc w:val="right"/>
              <w:rPr>
                <w:rFonts w:ascii="Arial" w:hAnsi="Arial" w:cs="Arial"/>
                <w:color w:val="000000"/>
                <w:sz w:val="22"/>
                <w:szCs w:val="22"/>
              </w:rPr>
            </w:pPr>
            <w:r w:rsidRPr="00623AC1">
              <w:rPr>
                <w:rFonts w:ascii="Arial" w:hAnsi="Arial" w:cs="Arial"/>
                <w:color w:val="000000"/>
                <w:sz w:val="22"/>
                <w:szCs w:val="22"/>
              </w:rPr>
              <w:t>54</w:t>
            </w:r>
            <w:r w:rsidR="00B04328">
              <w:rPr>
                <w:rFonts w:ascii="Arial" w:hAnsi="Arial" w:cs="Arial"/>
                <w:color w:val="000000"/>
                <w:sz w:val="22"/>
                <w:szCs w:val="22"/>
              </w:rPr>
              <w:t xml:space="preserve"> (1,131)</w:t>
            </w:r>
          </w:p>
        </w:tc>
        <w:tc>
          <w:tcPr>
            <w:tcW w:w="2552"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64BD6B41" w14:textId="77777777">
            <w:pPr>
              <w:jc w:val="right"/>
              <w:rPr>
                <w:rFonts w:ascii="Arial" w:hAnsi="Arial" w:cs="Arial"/>
                <w:color w:val="000000"/>
                <w:sz w:val="22"/>
                <w:szCs w:val="22"/>
              </w:rPr>
            </w:pPr>
            <w:r w:rsidRPr="00623AC1">
              <w:rPr>
                <w:rFonts w:ascii="Arial" w:hAnsi="Arial" w:cs="Arial"/>
                <w:color w:val="000000"/>
                <w:sz w:val="22"/>
                <w:szCs w:val="22"/>
              </w:rPr>
              <w:t>13</w:t>
            </w:r>
            <w:r w:rsidR="00B04328">
              <w:rPr>
                <w:rFonts w:ascii="Arial" w:hAnsi="Arial" w:cs="Arial"/>
                <w:color w:val="000000"/>
                <w:sz w:val="22"/>
                <w:szCs w:val="22"/>
              </w:rPr>
              <w:t xml:space="preserve"> (273)</w:t>
            </w:r>
          </w:p>
        </w:tc>
        <w:tc>
          <w:tcPr>
            <w:tcW w:w="1535" w:type="dxa"/>
            <w:tcBorders>
              <w:top w:val="nil"/>
              <w:left w:val="nil"/>
              <w:bottom w:val="single" w:color="auto" w:sz="4" w:space="0"/>
              <w:right w:val="single" w:color="auto" w:sz="8" w:space="0"/>
            </w:tcBorders>
            <w:shd w:val="clear" w:color="auto" w:fill="auto"/>
            <w:vAlign w:val="center"/>
            <w:hideMark/>
          </w:tcPr>
          <w:p w:rsidRPr="00BE5E59" w:rsidR="00623AC1" w:rsidP="00623AC1" w:rsidRDefault="00623AC1" w14:paraId="51C88E0E" w14:textId="77777777">
            <w:pPr>
              <w:jc w:val="right"/>
              <w:rPr>
                <w:rFonts w:ascii="Arial" w:hAnsi="Arial" w:cs="Arial"/>
                <w:color w:val="000000"/>
                <w:sz w:val="22"/>
                <w:szCs w:val="22"/>
              </w:rPr>
            </w:pPr>
            <w:r w:rsidRPr="00BE5E59">
              <w:rPr>
                <w:rFonts w:ascii="Arial" w:hAnsi="Arial" w:cs="Arial"/>
                <w:color w:val="000000"/>
                <w:sz w:val="22"/>
                <w:szCs w:val="22"/>
              </w:rPr>
              <w:t>67</w:t>
            </w:r>
            <w:r w:rsidR="00B04328">
              <w:rPr>
                <w:rFonts w:ascii="Arial" w:hAnsi="Arial" w:cs="Arial"/>
                <w:color w:val="000000"/>
                <w:sz w:val="22"/>
                <w:szCs w:val="22"/>
              </w:rPr>
              <w:t xml:space="preserve"> (1,404)</w:t>
            </w:r>
          </w:p>
        </w:tc>
      </w:tr>
      <w:tr w:rsidRPr="00623AC1" w:rsidR="00623AC1" w:rsidTr="00700C37" w14:paraId="163977B4" w14:textId="77777777">
        <w:trPr>
          <w:cantSplit/>
          <w:trHeight w:val="227"/>
          <w:tblHeader/>
        </w:trPr>
        <w:tc>
          <w:tcPr>
            <w:tcW w:w="858" w:type="dxa"/>
            <w:tcBorders>
              <w:top w:val="nil"/>
              <w:left w:val="single" w:color="auto" w:sz="8" w:space="0"/>
              <w:bottom w:val="single" w:color="auto" w:sz="4" w:space="0"/>
              <w:right w:val="single" w:color="auto" w:sz="8" w:space="0"/>
            </w:tcBorders>
            <w:shd w:val="clear" w:color="auto" w:fill="auto"/>
            <w:vAlign w:val="center"/>
            <w:hideMark/>
          </w:tcPr>
          <w:p w:rsidRPr="00623AC1" w:rsidR="00623AC1" w:rsidP="00623AC1" w:rsidRDefault="00623AC1" w14:paraId="60DD7D82" w14:textId="77777777">
            <w:pPr>
              <w:rPr>
                <w:rFonts w:ascii="Arial" w:hAnsi="Arial" w:cs="Arial"/>
                <w:color w:val="000000"/>
                <w:sz w:val="22"/>
                <w:szCs w:val="22"/>
              </w:rPr>
            </w:pPr>
            <w:r w:rsidRPr="00623AC1">
              <w:rPr>
                <w:rFonts w:ascii="Arial" w:hAnsi="Arial" w:cs="Arial"/>
                <w:color w:val="000000"/>
                <w:sz w:val="22"/>
                <w:szCs w:val="22"/>
              </w:rPr>
              <w:t xml:space="preserve">House </w:t>
            </w:r>
          </w:p>
        </w:tc>
        <w:tc>
          <w:tcPr>
            <w:tcW w:w="1576"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2C24DBBD" w14:textId="77777777">
            <w:pPr>
              <w:rPr>
                <w:rFonts w:ascii="Arial" w:hAnsi="Arial" w:cs="Arial"/>
                <w:color w:val="000000"/>
                <w:sz w:val="22"/>
                <w:szCs w:val="22"/>
              </w:rPr>
            </w:pPr>
            <w:r w:rsidRPr="00623AC1">
              <w:rPr>
                <w:rFonts w:ascii="Arial" w:hAnsi="Arial" w:cs="Arial"/>
                <w:color w:val="000000"/>
                <w:sz w:val="22"/>
                <w:szCs w:val="22"/>
              </w:rPr>
              <w:t xml:space="preserve">2 bedrooms </w:t>
            </w:r>
          </w:p>
        </w:tc>
        <w:tc>
          <w:tcPr>
            <w:tcW w:w="1984"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1D0EB0A3" w14:textId="77777777">
            <w:pPr>
              <w:jc w:val="right"/>
              <w:rPr>
                <w:rFonts w:ascii="Arial" w:hAnsi="Arial" w:cs="Arial"/>
                <w:color w:val="000000"/>
                <w:sz w:val="22"/>
                <w:szCs w:val="22"/>
              </w:rPr>
            </w:pPr>
            <w:r w:rsidRPr="00623AC1">
              <w:rPr>
                <w:rFonts w:ascii="Arial" w:hAnsi="Arial" w:cs="Arial"/>
                <w:color w:val="000000"/>
                <w:sz w:val="22"/>
                <w:szCs w:val="22"/>
              </w:rPr>
              <w:t>103</w:t>
            </w:r>
            <w:r w:rsidR="00B04328">
              <w:rPr>
                <w:rFonts w:ascii="Arial" w:hAnsi="Arial" w:cs="Arial"/>
                <w:color w:val="000000"/>
                <w:sz w:val="22"/>
                <w:szCs w:val="22"/>
              </w:rPr>
              <w:t xml:space="preserve"> (2,153)</w:t>
            </w:r>
          </w:p>
        </w:tc>
        <w:tc>
          <w:tcPr>
            <w:tcW w:w="2552"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579B21EC" w14:textId="77777777">
            <w:pPr>
              <w:jc w:val="right"/>
              <w:rPr>
                <w:rFonts w:ascii="Arial" w:hAnsi="Arial" w:cs="Arial"/>
                <w:color w:val="000000"/>
                <w:sz w:val="22"/>
                <w:szCs w:val="22"/>
              </w:rPr>
            </w:pPr>
            <w:r w:rsidRPr="00623AC1">
              <w:rPr>
                <w:rFonts w:ascii="Arial" w:hAnsi="Arial" w:cs="Arial"/>
                <w:color w:val="000000"/>
                <w:sz w:val="22"/>
                <w:szCs w:val="22"/>
              </w:rPr>
              <w:t>34</w:t>
            </w:r>
            <w:r w:rsidR="00B04328">
              <w:rPr>
                <w:rFonts w:ascii="Arial" w:hAnsi="Arial" w:cs="Arial"/>
                <w:color w:val="000000"/>
                <w:sz w:val="22"/>
                <w:szCs w:val="22"/>
              </w:rPr>
              <w:t xml:space="preserve"> (710)</w:t>
            </w:r>
          </w:p>
        </w:tc>
        <w:tc>
          <w:tcPr>
            <w:tcW w:w="1535" w:type="dxa"/>
            <w:tcBorders>
              <w:top w:val="nil"/>
              <w:left w:val="nil"/>
              <w:bottom w:val="single" w:color="auto" w:sz="4" w:space="0"/>
              <w:right w:val="single" w:color="auto" w:sz="8" w:space="0"/>
            </w:tcBorders>
            <w:shd w:val="clear" w:color="auto" w:fill="auto"/>
            <w:vAlign w:val="center"/>
            <w:hideMark/>
          </w:tcPr>
          <w:p w:rsidRPr="00BE5E59" w:rsidR="00623AC1" w:rsidP="00623AC1" w:rsidRDefault="00BE5E59" w14:paraId="75714A3A" w14:textId="77777777">
            <w:pPr>
              <w:jc w:val="right"/>
              <w:rPr>
                <w:rFonts w:ascii="Arial" w:hAnsi="Arial" w:cs="Arial"/>
                <w:color w:val="000000"/>
                <w:sz w:val="22"/>
                <w:szCs w:val="22"/>
              </w:rPr>
            </w:pPr>
            <w:r w:rsidRPr="00BE5E59">
              <w:rPr>
                <w:rFonts w:ascii="Arial" w:hAnsi="Arial" w:cs="Arial"/>
                <w:color w:val="000000"/>
                <w:sz w:val="22"/>
                <w:szCs w:val="22"/>
              </w:rPr>
              <w:t>137</w:t>
            </w:r>
            <w:r w:rsidR="00B04328">
              <w:rPr>
                <w:rFonts w:ascii="Arial" w:hAnsi="Arial" w:cs="Arial"/>
                <w:color w:val="000000"/>
                <w:sz w:val="22"/>
                <w:szCs w:val="22"/>
              </w:rPr>
              <w:t xml:space="preserve"> (2,863)</w:t>
            </w:r>
          </w:p>
        </w:tc>
      </w:tr>
      <w:tr w:rsidRPr="00623AC1" w:rsidR="00623AC1" w:rsidTr="00700C37" w14:paraId="450B5426" w14:textId="77777777">
        <w:trPr>
          <w:cantSplit/>
          <w:trHeight w:val="239"/>
          <w:tblHeader/>
        </w:trPr>
        <w:tc>
          <w:tcPr>
            <w:tcW w:w="858" w:type="dxa"/>
            <w:tcBorders>
              <w:top w:val="nil"/>
              <w:left w:val="single" w:color="auto" w:sz="8" w:space="0"/>
              <w:bottom w:val="single" w:color="auto" w:sz="4" w:space="0"/>
              <w:right w:val="single" w:color="auto" w:sz="8" w:space="0"/>
            </w:tcBorders>
            <w:shd w:val="clear" w:color="auto" w:fill="auto"/>
            <w:noWrap/>
            <w:vAlign w:val="bottom"/>
            <w:hideMark/>
          </w:tcPr>
          <w:p w:rsidRPr="00623AC1" w:rsidR="00623AC1" w:rsidP="00623AC1" w:rsidRDefault="00623AC1" w14:paraId="35B1E5C5" w14:textId="77777777">
            <w:pPr>
              <w:rPr>
                <w:rFonts w:ascii="Arial" w:hAnsi="Arial" w:cs="Arial"/>
                <w:color w:val="000000"/>
                <w:sz w:val="22"/>
                <w:szCs w:val="22"/>
              </w:rPr>
            </w:pPr>
            <w:r w:rsidRPr="00623AC1">
              <w:rPr>
                <w:rFonts w:ascii="Arial" w:hAnsi="Arial" w:cs="Arial"/>
                <w:color w:val="000000"/>
                <w:sz w:val="22"/>
                <w:szCs w:val="22"/>
              </w:rPr>
              <w:t> </w:t>
            </w:r>
          </w:p>
        </w:tc>
        <w:tc>
          <w:tcPr>
            <w:tcW w:w="1576"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04C884F2" w14:textId="77777777">
            <w:pPr>
              <w:rPr>
                <w:rFonts w:ascii="Arial" w:hAnsi="Arial" w:cs="Arial"/>
                <w:color w:val="000000"/>
                <w:sz w:val="22"/>
                <w:szCs w:val="22"/>
              </w:rPr>
            </w:pPr>
            <w:r w:rsidRPr="00623AC1">
              <w:rPr>
                <w:rFonts w:ascii="Arial" w:hAnsi="Arial" w:cs="Arial"/>
                <w:color w:val="000000"/>
                <w:sz w:val="22"/>
                <w:szCs w:val="22"/>
              </w:rPr>
              <w:t xml:space="preserve">3 bedrooms </w:t>
            </w:r>
          </w:p>
        </w:tc>
        <w:tc>
          <w:tcPr>
            <w:tcW w:w="1984"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1BA0EB3E" w14:textId="77777777">
            <w:pPr>
              <w:jc w:val="right"/>
              <w:rPr>
                <w:rFonts w:ascii="Arial" w:hAnsi="Arial" w:cs="Arial"/>
                <w:color w:val="000000"/>
                <w:sz w:val="22"/>
                <w:szCs w:val="22"/>
              </w:rPr>
            </w:pPr>
            <w:r w:rsidRPr="00623AC1">
              <w:rPr>
                <w:rFonts w:ascii="Arial" w:hAnsi="Arial" w:cs="Arial"/>
                <w:color w:val="000000"/>
                <w:sz w:val="22"/>
                <w:szCs w:val="22"/>
              </w:rPr>
              <w:t>108</w:t>
            </w:r>
            <w:r w:rsidR="00B04328">
              <w:rPr>
                <w:rFonts w:ascii="Arial" w:hAnsi="Arial" w:cs="Arial"/>
                <w:color w:val="000000"/>
                <w:sz w:val="22"/>
                <w:szCs w:val="22"/>
              </w:rPr>
              <w:t xml:space="preserve"> (2,263)</w:t>
            </w:r>
          </w:p>
        </w:tc>
        <w:tc>
          <w:tcPr>
            <w:tcW w:w="2552" w:type="dxa"/>
            <w:tcBorders>
              <w:top w:val="nil"/>
              <w:left w:val="nil"/>
              <w:bottom w:val="single" w:color="auto" w:sz="4" w:space="0"/>
              <w:right w:val="single" w:color="auto" w:sz="8" w:space="0"/>
            </w:tcBorders>
            <w:shd w:val="clear" w:color="auto" w:fill="auto"/>
            <w:vAlign w:val="center"/>
            <w:hideMark/>
          </w:tcPr>
          <w:p w:rsidRPr="00623AC1" w:rsidR="00623AC1" w:rsidP="00623AC1" w:rsidRDefault="00623AC1" w14:paraId="076D6D43" w14:textId="77777777">
            <w:pPr>
              <w:jc w:val="right"/>
              <w:rPr>
                <w:rFonts w:ascii="Arial" w:hAnsi="Arial" w:cs="Arial"/>
                <w:color w:val="000000"/>
                <w:sz w:val="22"/>
                <w:szCs w:val="22"/>
              </w:rPr>
            </w:pPr>
            <w:r w:rsidRPr="00623AC1">
              <w:rPr>
                <w:rFonts w:ascii="Arial" w:hAnsi="Arial" w:cs="Arial"/>
                <w:color w:val="000000"/>
                <w:sz w:val="22"/>
                <w:szCs w:val="22"/>
              </w:rPr>
              <w:t>46</w:t>
            </w:r>
            <w:r w:rsidR="00B04328">
              <w:rPr>
                <w:rFonts w:ascii="Arial" w:hAnsi="Arial" w:cs="Arial"/>
                <w:color w:val="000000"/>
                <w:sz w:val="22"/>
                <w:szCs w:val="22"/>
              </w:rPr>
              <w:t xml:space="preserve"> (975)</w:t>
            </w:r>
          </w:p>
        </w:tc>
        <w:tc>
          <w:tcPr>
            <w:tcW w:w="1535" w:type="dxa"/>
            <w:tcBorders>
              <w:top w:val="nil"/>
              <w:left w:val="nil"/>
              <w:bottom w:val="single" w:color="auto" w:sz="4" w:space="0"/>
              <w:right w:val="single" w:color="auto" w:sz="8" w:space="0"/>
            </w:tcBorders>
            <w:shd w:val="clear" w:color="auto" w:fill="auto"/>
            <w:vAlign w:val="center"/>
            <w:hideMark/>
          </w:tcPr>
          <w:p w:rsidRPr="00BE5E59" w:rsidR="00623AC1" w:rsidP="00623AC1" w:rsidRDefault="00623AC1" w14:paraId="0C055E9D" w14:textId="77777777">
            <w:pPr>
              <w:jc w:val="right"/>
              <w:rPr>
                <w:rFonts w:ascii="Arial" w:hAnsi="Arial" w:cs="Arial"/>
                <w:color w:val="000000"/>
                <w:sz w:val="22"/>
                <w:szCs w:val="22"/>
              </w:rPr>
            </w:pPr>
            <w:r w:rsidRPr="00BE5E59">
              <w:rPr>
                <w:rFonts w:ascii="Arial" w:hAnsi="Arial" w:cs="Arial"/>
                <w:color w:val="000000"/>
                <w:sz w:val="22"/>
                <w:szCs w:val="22"/>
              </w:rPr>
              <w:t>154</w:t>
            </w:r>
            <w:r w:rsidR="00B04328">
              <w:rPr>
                <w:rFonts w:ascii="Arial" w:hAnsi="Arial" w:cs="Arial"/>
                <w:color w:val="000000"/>
                <w:sz w:val="22"/>
                <w:szCs w:val="22"/>
              </w:rPr>
              <w:t xml:space="preserve"> (3,238)</w:t>
            </w:r>
          </w:p>
        </w:tc>
      </w:tr>
      <w:tr w:rsidRPr="00623AC1" w:rsidR="00623AC1" w:rsidTr="00700C37" w14:paraId="6559610A" w14:textId="77777777">
        <w:trPr>
          <w:cantSplit/>
          <w:trHeight w:val="239"/>
          <w:tblHeader/>
        </w:trPr>
        <w:tc>
          <w:tcPr>
            <w:tcW w:w="858" w:type="dxa"/>
            <w:tcBorders>
              <w:top w:val="nil"/>
              <w:left w:val="single" w:color="auto" w:sz="8" w:space="0"/>
              <w:bottom w:val="single" w:color="auto" w:sz="8" w:space="0"/>
              <w:right w:val="single" w:color="auto" w:sz="8" w:space="0"/>
            </w:tcBorders>
            <w:shd w:val="clear" w:color="auto" w:fill="auto"/>
            <w:noWrap/>
            <w:vAlign w:val="bottom"/>
            <w:hideMark/>
          </w:tcPr>
          <w:p w:rsidRPr="00623AC1" w:rsidR="00623AC1" w:rsidP="00623AC1" w:rsidRDefault="00623AC1" w14:paraId="5EA80899" w14:textId="77777777">
            <w:pPr>
              <w:rPr>
                <w:rFonts w:ascii="Arial" w:hAnsi="Arial" w:cs="Arial"/>
                <w:color w:val="000000"/>
                <w:sz w:val="22"/>
                <w:szCs w:val="22"/>
              </w:rPr>
            </w:pPr>
            <w:r w:rsidRPr="00623AC1">
              <w:rPr>
                <w:rFonts w:ascii="Arial" w:hAnsi="Arial" w:cs="Arial"/>
                <w:color w:val="000000"/>
                <w:sz w:val="22"/>
                <w:szCs w:val="22"/>
              </w:rPr>
              <w:t> </w:t>
            </w:r>
          </w:p>
        </w:tc>
        <w:tc>
          <w:tcPr>
            <w:tcW w:w="1576" w:type="dxa"/>
            <w:tcBorders>
              <w:top w:val="nil"/>
              <w:left w:val="nil"/>
              <w:bottom w:val="single" w:color="auto" w:sz="8" w:space="0"/>
              <w:right w:val="single" w:color="auto" w:sz="8" w:space="0"/>
            </w:tcBorders>
            <w:shd w:val="clear" w:color="auto" w:fill="auto"/>
            <w:vAlign w:val="center"/>
            <w:hideMark/>
          </w:tcPr>
          <w:p w:rsidRPr="00623AC1" w:rsidR="00623AC1" w:rsidP="00623AC1" w:rsidRDefault="00623AC1" w14:paraId="6F5ECAC4" w14:textId="77777777">
            <w:pPr>
              <w:rPr>
                <w:rFonts w:ascii="Arial" w:hAnsi="Arial" w:cs="Arial"/>
                <w:color w:val="000000"/>
                <w:sz w:val="22"/>
                <w:szCs w:val="22"/>
              </w:rPr>
            </w:pPr>
            <w:r w:rsidRPr="00623AC1">
              <w:rPr>
                <w:rFonts w:ascii="Arial" w:hAnsi="Arial" w:cs="Arial"/>
                <w:color w:val="000000"/>
                <w:sz w:val="22"/>
                <w:szCs w:val="22"/>
              </w:rPr>
              <w:t xml:space="preserve">4+ bedrooms </w:t>
            </w:r>
          </w:p>
        </w:tc>
        <w:tc>
          <w:tcPr>
            <w:tcW w:w="1984" w:type="dxa"/>
            <w:tcBorders>
              <w:top w:val="nil"/>
              <w:left w:val="nil"/>
              <w:bottom w:val="single" w:color="auto" w:sz="8" w:space="0"/>
              <w:right w:val="single" w:color="auto" w:sz="8" w:space="0"/>
            </w:tcBorders>
            <w:shd w:val="clear" w:color="auto" w:fill="auto"/>
            <w:vAlign w:val="center"/>
            <w:hideMark/>
          </w:tcPr>
          <w:p w:rsidRPr="00623AC1" w:rsidR="00623AC1" w:rsidP="00623AC1" w:rsidRDefault="00623AC1" w14:paraId="2295C4B4" w14:textId="77777777">
            <w:pPr>
              <w:jc w:val="right"/>
              <w:rPr>
                <w:rFonts w:ascii="Arial" w:hAnsi="Arial" w:cs="Arial"/>
                <w:color w:val="000000"/>
                <w:sz w:val="22"/>
                <w:szCs w:val="22"/>
              </w:rPr>
            </w:pPr>
            <w:r w:rsidRPr="00623AC1">
              <w:rPr>
                <w:rFonts w:ascii="Arial" w:hAnsi="Arial" w:cs="Arial"/>
                <w:color w:val="000000"/>
                <w:sz w:val="22"/>
                <w:szCs w:val="22"/>
              </w:rPr>
              <w:t>30</w:t>
            </w:r>
            <w:r w:rsidR="00B04328">
              <w:rPr>
                <w:rFonts w:ascii="Arial" w:hAnsi="Arial" w:cs="Arial"/>
                <w:color w:val="000000"/>
                <w:sz w:val="22"/>
                <w:szCs w:val="22"/>
              </w:rPr>
              <w:t xml:space="preserve"> (629</w:t>
            </w:r>
            <w:r w:rsidR="000C3687">
              <w:rPr>
                <w:rFonts w:ascii="Arial" w:hAnsi="Arial" w:cs="Arial"/>
                <w:color w:val="000000"/>
                <w:sz w:val="22"/>
                <w:szCs w:val="22"/>
              </w:rPr>
              <w:t>)</w:t>
            </w:r>
          </w:p>
        </w:tc>
        <w:tc>
          <w:tcPr>
            <w:tcW w:w="2552" w:type="dxa"/>
            <w:tcBorders>
              <w:top w:val="nil"/>
              <w:left w:val="nil"/>
              <w:bottom w:val="single" w:color="auto" w:sz="8" w:space="0"/>
              <w:right w:val="single" w:color="auto" w:sz="8" w:space="0"/>
            </w:tcBorders>
            <w:shd w:val="clear" w:color="auto" w:fill="auto"/>
            <w:vAlign w:val="center"/>
            <w:hideMark/>
          </w:tcPr>
          <w:p w:rsidRPr="00623AC1" w:rsidR="00623AC1" w:rsidP="00623AC1" w:rsidRDefault="00623AC1" w14:paraId="66A7FED6" w14:textId="77777777">
            <w:pPr>
              <w:jc w:val="right"/>
              <w:rPr>
                <w:rFonts w:ascii="Arial" w:hAnsi="Arial" w:cs="Arial"/>
                <w:color w:val="000000"/>
                <w:sz w:val="22"/>
                <w:szCs w:val="22"/>
              </w:rPr>
            </w:pPr>
            <w:r w:rsidRPr="00623AC1">
              <w:rPr>
                <w:rFonts w:ascii="Arial" w:hAnsi="Arial" w:cs="Arial"/>
                <w:color w:val="000000"/>
                <w:sz w:val="22"/>
                <w:szCs w:val="22"/>
              </w:rPr>
              <w:t>8</w:t>
            </w:r>
            <w:r w:rsidR="00B04328">
              <w:rPr>
                <w:rFonts w:ascii="Arial" w:hAnsi="Arial" w:cs="Arial"/>
                <w:color w:val="000000"/>
                <w:sz w:val="22"/>
                <w:szCs w:val="22"/>
              </w:rPr>
              <w:t xml:space="preserve"> (173)</w:t>
            </w:r>
          </w:p>
        </w:tc>
        <w:tc>
          <w:tcPr>
            <w:tcW w:w="1535" w:type="dxa"/>
            <w:tcBorders>
              <w:top w:val="nil"/>
              <w:left w:val="nil"/>
              <w:bottom w:val="single" w:color="auto" w:sz="8" w:space="0"/>
              <w:right w:val="single" w:color="auto" w:sz="8" w:space="0"/>
            </w:tcBorders>
            <w:shd w:val="clear" w:color="auto" w:fill="auto"/>
            <w:vAlign w:val="center"/>
            <w:hideMark/>
          </w:tcPr>
          <w:p w:rsidR="00623AC1" w:rsidP="00623AC1" w:rsidRDefault="00623AC1" w14:paraId="55E84297" w14:textId="77777777">
            <w:pPr>
              <w:jc w:val="right"/>
              <w:rPr>
                <w:rFonts w:ascii="Arial" w:hAnsi="Arial" w:cs="Arial"/>
                <w:color w:val="000000"/>
                <w:sz w:val="22"/>
                <w:szCs w:val="22"/>
              </w:rPr>
            </w:pPr>
            <w:r w:rsidRPr="00BE5E59">
              <w:rPr>
                <w:rFonts w:ascii="Arial" w:hAnsi="Arial" w:cs="Arial"/>
                <w:color w:val="000000"/>
                <w:sz w:val="22"/>
                <w:szCs w:val="22"/>
              </w:rPr>
              <w:t>38</w:t>
            </w:r>
            <w:r w:rsidR="000C3687">
              <w:rPr>
                <w:rFonts w:ascii="Arial" w:hAnsi="Arial" w:cs="Arial"/>
                <w:color w:val="000000"/>
                <w:sz w:val="22"/>
                <w:szCs w:val="22"/>
              </w:rPr>
              <w:t xml:space="preserve"> (801)</w:t>
            </w:r>
          </w:p>
          <w:p w:rsidRPr="00BE5E59" w:rsidR="00B04328" w:rsidP="00623AC1" w:rsidRDefault="00B04328" w14:paraId="4A4F7572" w14:textId="77777777">
            <w:pPr>
              <w:jc w:val="right"/>
              <w:rPr>
                <w:rFonts w:ascii="Arial" w:hAnsi="Arial" w:cs="Arial"/>
                <w:color w:val="000000"/>
                <w:sz w:val="22"/>
                <w:szCs w:val="22"/>
              </w:rPr>
            </w:pPr>
          </w:p>
        </w:tc>
      </w:tr>
      <w:tr w:rsidRPr="00623AC1" w:rsidR="005441A3" w:rsidTr="00700C37" w14:paraId="43AF8F2C" w14:textId="77777777">
        <w:trPr>
          <w:cantSplit/>
          <w:trHeight w:val="503"/>
          <w:tblHeader/>
        </w:trPr>
        <w:tc>
          <w:tcPr>
            <w:tcW w:w="2434" w:type="dxa"/>
            <w:gridSpan w:val="2"/>
            <w:tcBorders>
              <w:top w:val="single" w:color="auto" w:sz="8" w:space="0"/>
              <w:left w:val="single" w:color="auto" w:sz="8" w:space="0"/>
              <w:bottom w:val="single" w:color="auto" w:sz="8" w:space="0"/>
              <w:right w:val="single" w:color="auto" w:sz="8" w:space="0"/>
            </w:tcBorders>
            <w:shd w:val="clear" w:color="auto" w:fill="auto"/>
            <w:vAlign w:val="center"/>
            <w:hideMark/>
          </w:tcPr>
          <w:p w:rsidRPr="00623AC1" w:rsidR="005441A3" w:rsidP="00623AC1" w:rsidRDefault="005441A3" w14:paraId="30ECB98A" w14:textId="77777777">
            <w:pPr>
              <w:rPr>
                <w:rFonts w:ascii="Arial" w:hAnsi="Arial" w:cs="Arial"/>
                <w:b/>
                <w:bCs/>
                <w:color w:val="000000"/>
                <w:sz w:val="22"/>
                <w:szCs w:val="22"/>
              </w:rPr>
            </w:pPr>
            <w:r>
              <w:rPr>
                <w:rFonts w:ascii="Arial" w:hAnsi="Arial" w:cs="Arial"/>
                <w:b/>
                <w:bCs/>
                <w:color w:val="000000"/>
                <w:sz w:val="22"/>
                <w:szCs w:val="22"/>
              </w:rPr>
              <w:t>Total per year (avg.)</w:t>
            </w:r>
          </w:p>
        </w:tc>
        <w:tc>
          <w:tcPr>
            <w:tcW w:w="1984" w:type="dxa"/>
            <w:tcBorders>
              <w:top w:val="single" w:color="auto" w:sz="8" w:space="0"/>
              <w:left w:val="single" w:color="auto" w:sz="8" w:space="0"/>
              <w:bottom w:val="single" w:color="auto" w:sz="8" w:space="0"/>
              <w:right w:val="single" w:color="auto" w:sz="8" w:space="0"/>
            </w:tcBorders>
            <w:shd w:val="clear" w:color="auto" w:fill="auto"/>
            <w:vAlign w:val="center"/>
          </w:tcPr>
          <w:p w:rsidRPr="00623AC1" w:rsidR="005441A3" w:rsidP="00623AC1" w:rsidRDefault="005441A3" w14:paraId="0496B51C" w14:textId="77777777">
            <w:pPr>
              <w:jc w:val="right"/>
              <w:rPr>
                <w:rFonts w:ascii="Arial" w:hAnsi="Arial" w:cs="Arial"/>
                <w:b/>
                <w:color w:val="000000"/>
                <w:sz w:val="22"/>
                <w:szCs w:val="22"/>
              </w:rPr>
            </w:pPr>
            <w:r w:rsidRPr="00623AC1">
              <w:rPr>
                <w:rFonts w:ascii="Arial" w:hAnsi="Arial" w:cs="Arial"/>
                <w:b/>
                <w:color w:val="000000"/>
                <w:sz w:val="22"/>
                <w:szCs w:val="22"/>
              </w:rPr>
              <w:t>413</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rsidRPr="00623AC1" w:rsidR="005441A3" w:rsidP="00623AC1" w:rsidRDefault="005441A3" w14:paraId="24AE9BB6" w14:textId="77777777">
            <w:pPr>
              <w:jc w:val="right"/>
              <w:rPr>
                <w:rFonts w:ascii="Arial" w:hAnsi="Arial" w:cs="Arial"/>
                <w:b/>
                <w:color w:val="000000"/>
                <w:sz w:val="22"/>
                <w:szCs w:val="22"/>
              </w:rPr>
            </w:pPr>
            <w:r w:rsidRPr="00623AC1">
              <w:rPr>
                <w:rFonts w:ascii="Arial" w:hAnsi="Arial" w:cs="Arial"/>
                <w:b/>
                <w:color w:val="000000"/>
                <w:sz w:val="22"/>
                <w:szCs w:val="22"/>
              </w:rPr>
              <w:t>113</w:t>
            </w:r>
          </w:p>
        </w:tc>
        <w:tc>
          <w:tcPr>
            <w:tcW w:w="1535" w:type="dxa"/>
            <w:tcBorders>
              <w:top w:val="single" w:color="auto" w:sz="8" w:space="0"/>
              <w:left w:val="single" w:color="auto" w:sz="8" w:space="0"/>
              <w:bottom w:val="single" w:color="auto" w:sz="8" w:space="0"/>
              <w:right w:val="single" w:color="auto" w:sz="8" w:space="0"/>
            </w:tcBorders>
            <w:shd w:val="clear" w:color="auto" w:fill="auto"/>
            <w:vAlign w:val="center"/>
          </w:tcPr>
          <w:p w:rsidRPr="00BE5E59" w:rsidR="005441A3" w:rsidP="00623AC1" w:rsidRDefault="005441A3" w14:paraId="599852DB" w14:textId="77777777">
            <w:pPr>
              <w:jc w:val="right"/>
              <w:rPr>
                <w:rFonts w:ascii="Arial" w:hAnsi="Arial" w:cs="Arial"/>
                <w:b/>
                <w:color w:val="000000"/>
                <w:sz w:val="22"/>
                <w:szCs w:val="22"/>
              </w:rPr>
            </w:pPr>
            <w:r w:rsidRPr="00BE5E59">
              <w:rPr>
                <w:rFonts w:ascii="Arial" w:hAnsi="Arial" w:cs="Arial"/>
                <w:b/>
                <w:color w:val="000000"/>
                <w:sz w:val="22"/>
                <w:szCs w:val="22"/>
              </w:rPr>
              <w:t>525</w:t>
            </w:r>
          </w:p>
        </w:tc>
      </w:tr>
      <w:tr w:rsidRPr="00623AC1" w:rsidR="005441A3" w:rsidTr="00700C37" w14:paraId="5BC07440" w14:textId="77777777">
        <w:trPr>
          <w:cantSplit/>
          <w:trHeight w:val="502"/>
          <w:tblHeader/>
        </w:trPr>
        <w:tc>
          <w:tcPr>
            <w:tcW w:w="243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rsidRPr="00623AC1" w:rsidR="005441A3" w:rsidP="00623AC1" w:rsidRDefault="005441A3" w14:paraId="41146F3D" w14:textId="77777777">
            <w:pPr>
              <w:rPr>
                <w:rFonts w:ascii="Arial" w:hAnsi="Arial" w:cs="Arial"/>
                <w:b/>
                <w:bCs/>
                <w:color w:val="000000"/>
                <w:sz w:val="22"/>
                <w:szCs w:val="22"/>
              </w:rPr>
            </w:pPr>
            <w:r>
              <w:rPr>
                <w:rFonts w:ascii="Arial" w:hAnsi="Arial" w:cs="Arial"/>
                <w:b/>
                <w:bCs/>
                <w:color w:val="000000"/>
                <w:sz w:val="22"/>
                <w:szCs w:val="22"/>
              </w:rPr>
              <w:t>Total for period of SHMA</w:t>
            </w:r>
          </w:p>
        </w:tc>
        <w:tc>
          <w:tcPr>
            <w:tcW w:w="1984" w:type="dxa"/>
            <w:tcBorders>
              <w:top w:val="single" w:color="auto" w:sz="8" w:space="0"/>
              <w:left w:val="single" w:color="auto" w:sz="8" w:space="0"/>
              <w:bottom w:val="single" w:color="auto" w:sz="8" w:space="0"/>
              <w:right w:val="single" w:color="auto" w:sz="8" w:space="0"/>
            </w:tcBorders>
            <w:shd w:val="clear" w:color="auto" w:fill="auto"/>
            <w:vAlign w:val="center"/>
          </w:tcPr>
          <w:p w:rsidRPr="00623AC1" w:rsidR="005441A3" w:rsidP="0019449D" w:rsidRDefault="0019449D" w14:paraId="47FC5259" w14:textId="77777777">
            <w:pPr>
              <w:jc w:val="right"/>
              <w:rPr>
                <w:rFonts w:ascii="Arial" w:hAnsi="Arial" w:cs="Arial"/>
                <w:b/>
                <w:bCs/>
                <w:color w:val="000000"/>
                <w:sz w:val="22"/>
                <w:szCs w:val="22"/>
              </w:rPr>
            </w:pPr>
            <w:r>
              <w:rPr>
                <w:rFonts w:ascii="Arial" w:hAnsi="Arial" w:cs="Arial"/>
                <w:b/>
                <w:bCs/>
                <w:color w:val="000000"/>
                <w:sz w:val="22"/>
                <w:szCs w:val="22"/>
              </w:rPr>
              <w:t>8664</w:t>
            </w:r>
          </w:p>
        </w:tc>
        <w:tc>
          <w:tcPr>
            <w:tcW w:w="2552" w:type="dxa"/>
            <w:tcBorders>
              <w:top w:val="single" w:color="auto" w:sz="8" w:space="0"/>
              <w:left w:val="single" w:color="auto" w:sz="8" w:space="0"/>
              <w:bottom w:val="single" w:color="auto" w:sz="8" w:space="0"/>
              <w:right w:val="single" w:color="auto" w:sz="8" w:space="0"/>
            </w:tcBorders>
            <w:shd w:val="clear" w:color="auto" w:fill="auto"/>
            <w:vAlign w:val="center"/>
          </w:tcPr>
          <w:p w:rsidRPr="00623AC1" w:rsidR="005441A3" w:rsidP="0019449D" w:rsidRDefault="0019449D" w14:paraId="35EFFC58" w14:textId="77777777">
            <w:pPr>
              <w:jc w:val="right"/>
              <w:rPr>
                <w:rFonts w:ascii="Arial" w:hAnsi="Arial" w:cs="Arial"/>
                <w:b/>
                <w:bCs/>
                <w:color w:val="000000"/>
                <w:sz w:val="22"/>
                <w:szCs w:val="22"/>
              </w:rPr>
            </w:pPr>
            <w:r>
              <w:rPr>
                <w:rFonts w:ascii="Arial" w:hAnsi="Arial" w:cs="Arial"/>
                <w:b/>
                <w:bCs/>
                <w:color w:val="000000"/>
                <w:sz w:val="22"/>
                <w:szCs w:val="22"/>
              </w:rPr>
              <w:t>2367</w:t>
            </w:r>
          </w:p>
        </w:tc>
        <w:tc>
          <w:tcPr>
            <w:tcW w:w="1535" w:type="dxa"/>
            <w:tcBorders>
              <w:top w:val="single" w:color="auto" w:sz="8" w:space="0"/>
              <w:left w:val="single" w:color="auto" w:sz="8" w:space="0"/>
              <w:bottom w:val="single" w:color="auto" w:sz="8" w:space="0"/>
              <w:right w:val="single" w:color="auto" w:sz="8" w:space="0"/>
            </w:tcBorders>
            <w:shd w:val="clear" w:color="auto" w:fill="auto"/>
            <w:vAlign w:val="center"/>
          </w:tcPr>
          <w:p w:rsidRPr="00623AC1" w:rsidR="005441A3" w:rsidP="0019449D" w:rsidRDefault="002B5EEF" w14:paraId="52B097E8" w14:textId="77777777">
            <w:pPr>
              <w:jc w:val="right"/>
              <w:rPr>
                <w:rFonts w:ascii="Arial" w:hAnsi="Arial" w:cs="Arial"/>
                <w:b/>
                <w:bCs/>
                <w:color w:val="000000"/>
                <w:sz w:val="22"/>
                <w:szCs w:val="22"/>
              </w:rPr>
            </w:pPr>
            <w:r>
              <w:rPr>
                <w:rFonts w:ascii="Arial" w:hAnsi="Arial" w:cs="Arial"/>
                <w:b/>
                <w:bCs/>
                <w:color w:val="000000"/>
                <w:sz w:val="22"/>
                <w:szCs w:val="22"/>
              </w:rPr>
              <w:t>11,030</w:t>
            </w:r>
          </w:p>
        </w:tc>
      </w:tr>
    </w:tbl>
    <w:p w:rsidRPr="008422DE" w:rsidR="00623AC1" w:rsidP="00623AC1" w:rsidRDefault="008422DE" w14:paraId="01389458" w14:textId="77777777">
      <w:pPr>
        <w:rPr>
          <w:rFonts w:ascii="Arial" w:hAnsi="Arial" w:cs="Arial"/>
          <w:sz w:val="16"/>
          <w:szCs w:val="16"/>
        </w:rPr>
      </w:pPr>
      <w:r w:rsidRPr="008422DE">
        <w:rPr>
          <w:rFonts w:ascii="Arial" w:hAnsi="Arial" w:cs="Arial"/>
          <w:sz w:val="16"/>
          <w:szCs w:val="16"/>
        </w:rPr>
        <w:t>Table 5</w:t>
      </w:r>
      <w:r w:rsidR="00FD7BA7">
        <w:rPr>
          <w:rFonts w:ascii="Arial" w:hAnsi="Arial" w:cs="Arial"/>
          <w:sz w:val="16"/>
          <w:szCs w:val="16"/>
        </w:rPr>
        <w:t>:</w:t>
      </w:r>
      <w:r>
        <w:rPr>
          <w:rFonts w:ascii="Arial" w:hAnsi="Arial" w:cs="Arial"/>
          <w:sz w:val="16"/>
          <w:szCs w:val="16"/>
        </w:rPr>
        <w:t xml:space="preserve"> </w:t>
      </w:r>
      <w:r w:rsidRPr="00623AC1" w:rsidR="00623AC1">
        <w:rPr>
          <w:rFonts w:ascii="Arial" w:hAnsi="Arial" w:cs="Arial"/>
          <w:sz w:val="16"/>
          <w:szCs w:val="16"/>
        </w:rPr>
        <w:t>Source: Fig 85 Central Norfolk SHMA 2017 (annualised</w:t>
      </w:r>
      <w:r w:rsidR="00767512">
        <w:rPr>
          <w:rFonts w:ascii="Arial" w:hAnsi="Arial" w:cs="Arial"/>
          <w:sz w:val="16"/>
          <w:szCs w:val="16"/>
        </w:rPr>
        <w:t>, figures rounded</w:t>
      </w:r>
      <w:r w:rsidRPr="00623AC1" w:rsidR="00623AC1">
        <w:rPr>
          <w:rFonts w:ascii="Arial" w:hAnsi="Arial" w:cs="Arial"/>
          <w:sz w:val="16"/>
          <w:szCs w:val="16"/>
        </w:rPr>
        <w:t>)</w:t>
      </w:r>
    </w:p>
    <w:p w:rsidRPr="00623AC1" w:rsidR="00623AC1" w:rsidP="00623AC1" w:rsidRDefault="00623AC1" w14:paraId="729FA651" w14:textId="77777777">
      <w:pPr>
        <w:rPr>
          <w:rFonts w:ascii="Arial" w:hAnsi="Arial" w:cs="Arial"/>
        </w:rPr>
      </w:pPr>
    </w:p>
    <w:p w:rsidRPr="00623AC1" w:rsidR="00623AC1" w:rsidP="00623AC1" w:rsidRDefault="00623AC1" w14:paraId="71BC7406" w14:textId="77777777">
      <w:pPr>
        <w:rPr>
          <w:rFonts w:ascii="Arial" w:hAnsi="Arial" w:cs="Arial"/>
        </w:rPr>
      </w:pPr>
      <w:r w:rsidRPr="00623AC1">
        <w:rPr>
          <w:rFonts w:ascii="Arial" w:hAnsi="Arial" w:cs="Arial"/>
        </w:rPr>
        <w:t>The Greater Norwich Joint Core Strategy</w:t>
      </w:r>
      <w:r w:rsidR="00773C48">
        <w:rPr>
          <w:rFonts w:ascii="Arial" w:hAnsi="Arial" w:cs="Arial"/>
        </w:rPr>
        <w:t xml:space="preserve"> (JCS)</w:t>
      </w:r>
      <w:r w:rsidRPr="00623AC1">
        <w:rPr>
          <w:rFonts w:ascii="Arial" w:hAnsi="Arial" w:cs="Arial"/>
        </w:rPr>
        <w:t xml:space="preserve"> uses the S</w:t>
      </w:r>
      <w:r w:rsidR="00773C48">
        <w:rPr>
          <w:rFonts w:ascii="Arial" w:hAnsi="Arial" w:cs="Arial"/>
        </w:rPr>
        <w:t>trategic Housing Market Assessment (S</w:t>
      </w:r>
      <w:r w:rsidRPr="00623AC1">
        <w:rPr>
          <w:rFonts w:ascii="Arial" w:hAnsi="Arial" w:cs="Arial"/>
        </w:rPr>
        <w:t>HMA</w:t>
      </w:r>
      <w:r w:rsidR="00773C48">
        <w:rPr>
          <w:rFonts w:ascii="Arial" w:hAnsi="Arial" w:cs="Arial"/>
        </w:rPr>
        <w:t>) as the evidence base for P</w:t>
      </w:r>
      <w:r w:rsidRPr="00623AC1">
        <w:rPr>
          <w:rFonts w:ascii="Arial" w:hAnsi="Arial" w:cs="Arial"/>
        </w:rPr>
        <w:t>olicy 4 on housing.</w:t>
      </w:r>
    </w:p>
    <w:p w:rsidRPr="00623AC1" w:rsidR="00623AC1" w:rsidP="00623AC1" w:rsidRDefault="00623AC1" w14:paraId="65BC06A2" w14:textId="77777777">
      <w:pPr>
        <w:rPr>
          <w:rFonts w:ascii="Arial" w:hAnsi="Arial" w:cs="Arial"/>
        </w:rPr>
      </w:pPr>
    </w:p>
    <w:p w:rsidRPr="00623AC1" w:rsidR="00623AC1" w:rsidP="00623AC1" w:rsidRDefault="00623AC1" w14:paraId="795769D0" w14:textId="77777777">
      <w:pPr>
        <w:rPr>
          <w:rFonts w:ascii="Arial" w:hAnsi="Arial" w:cs="Arial"/>
        </w:rPr>
      </w:pPr>
      <w:r w:rsidRPr="00623AC1">
        <w:rPr>
          <w:rFonts w:ascii="Arial" w:hAnsi="Arial" w:cs="Arial"/>
        </w:rPr>
        <w:t>The policy requires a percentage of affordable housing to be delivered on all developments of 10 dwellings or more, with 30% affordable housing required on developments of 10-15 dwellings and 33% on developments of 16 dwellings or more.</w:t>
      </w:r>
    </w:p>
    <w:p w:rsidRPr="00623AC1" w:rsidR="00623AC1" w:rsidP="00623AC1" w:rsidRDefault="00623AC1" w14:paraId="29833F29" w14:textId="77777777">
      <w:pPr>
        <w:rPr>
          <w:rFonts w:ascii="Arial" w:hAnsi="Arial" w:cs="Arial"/>
        </w:rPr>
      </w:pPr>
    </w:p>
    <w:p w:rsidR="00623AC1" w:rsidP="00623AC1" w:rsidRDefault="00623AC1" w14:paraId="2B1ABF45" w14:textId="77777777">
      <w:pPr>
        <w:rPr>
          <w:rFonts w:ascii="Arial" w:hAnsi="Arial" w:cs="Arial"/>
        </w:rPr>
      </w:pPr>
      <w:r w:rsidRPr="00623AC1">
        <w:rPr>
          <w:rFonts w:ascii="Arial" w:hAnsi="Arial" w:cs="Arial"/>
        </w:rPr>
        <w:t>JCS Policy 4 also requires for a tenure split of affordable housing to be 85% affordable housing for rent and 15% as intermediate tenure.</w:t>
      </w:r>
    </w:p>
    <w:p w:rsidRPr="00623AC1" w:rsidR="00C6769B" w:rsidP="00C6769B" w:rsidRDefault="00C6769B" w14:paraId="3C287676" w14:textId="77777777">
      <w:pPr>
        <w:rPr>
          <w:rFonts w:ascii="Arial" w:hAnsi="Arial" w:cs="Arial"/>
        </w:rPr>
      </w:pPr>
      <w:r w:rsidRPr="00C6769B">
        <w:rPr>
          <w:rFonts w:ascii="Arial" w:hAnsi="Arial" w:cs="Arial"/>
        </w:rPr>
        <w:t>The SHMA found that in Norwich and Broadland based on 35% of household income, 73% (203 of 278</w:t>
      </w:r>
      <w:r w:rsidRPr="00C6769B">
        <w:rPr>
          <w:rStyle w:val="FootnoteReference"/>
          <w:rFonts w:ascii="Arial" w:hAnsi="Arial" w:cs="Arial"/>
          <w:sz w:val="16"/>
          <w:szCs w:val="16"/>
        </w:rPr>
        <w:footnoteReference w:id="9"/>
      </w:r>
      <w:r w:rsidRPr="00C6769B">
        <w:rPr>
          <w:rFonts w:ascii="Arial" w:hAnsi="Arial" w:cs="Arial"/>
        </w:rPr>
        <w:t>) and 71%</w:t>
      </w:r>
      <w:r w:rsidRPr="00C6769B">
        <w:rPr>
          <w:rStyle w:val="FootnoteReference"/>
          <w:rFonts w:ascii="Arial" w:hAnsi="Arial" w:cs="Arial"/>
          <w:sz w:val="16"/>
          <w:szCs w:val="16"/>
        </w:rPr>
        <w:footnoteReference w:id="10"/>
      </w:r>
      <w:r w:rsidRPr="00C6769B">
        <w:rPr>
          <w:rFonts w:ascii="Arial" w:hAnsi="Arial" w:cs="Arial"/>
        </w:rPr>
        <w:t xml:space="preserve"> of households in housing need could not afford target rent without help with their housing costs (welfare benefits) compared to 60% in South Norfolk. However, both in South Norfolk and Broadland there is a larger percentage of households able to afford affordable rent/home ownership products due to higher household incomes in those areas.</w:t>
      </w:r>
      <w:r>
        <w:rPr>
          <w:rFonts w:ascii="Arial" w:hAnsi="Arial" w:cs="Arial"/>
        </w:rPr>
        <w:t xml:space="preserve"> </w:t>
      </w:r>
    </w:p>
    <w:p w:rsidRPr="00623AC1" w:rsidR="00623AC1" w:rsidP="00623AC1" w:rsidRDefault="00623AC1" w14:paraId="77554FC6" w14:textId="77777777">
      <w:pPr>
        <w:rPr>
          <w:rFonts w:ascii="Arial" w:hAnsi="Arial" w:cs="Arial"/>
        </w:rPr>
      </w:pPr>
    </w:p>
    <w:p w:rsidRPr="00623AC1" w:rsidR="00623AC1" w:rsidP="00623AC1" w:rsidRDefault="00623AC1" w14:paraId="1EE26700" w14:textId="77777777">
      <w:pPr>
        <w:rPr>
          <w:rFonts w:ascii="Arial" w:hAnsi="Arial" w:cs="Arial"/>
          <w:b/>
        </w:rPr>
      </w:pPr>
      <w:r w:rsidRPr="00623AC1">
        <w:rPr>
          <w:rFonts w:ascii="Arial" w:hAnsi="Arial" w:cs="Arial"/>
        </w:rPr>
        <w:t>The Greater Norwich Development Partnership (GNDP) has recently published the Annual Monitoring Report (AMR) for 2018/19, which shows delivery in recent years as:</w:t>
      </w:r>
    </w:p>
    <w:p w:rsidRPr="00A45E5E" w:rsidR="00A45E5E" w:rsidP="00623AC1" w:rsidRDefault="00A45E5E" w14:paraId="6E963F71" w14:textId="77777777">
      <w:pPr>
        <w:rPr>
          <w:rFonts w:ascii="Arial" w:hAnsi="Arial" w:cs="Arial"/>
        </w:rPr>
      </w:pPr>
    </w:p>
    <w:tbl>
      <w:tblPr>
        <w:tblStyle w:val="TableGrid"/>
        <w:tblW w:w="10467" w:type="dxa"/>
        <w:tblInd w:w="-1086" w:type="dxa"/>
        <w:tblLook w:val="04A0" w:firstRow="1" w:lastRow="0" w:firstColumn="1" w:lastColumn="0" w:noHBand="0" w:noVBand="1"/>
        <w:tblCaption w:val="Net and Affordable Housing Completions Table"/>
        <w:tblDescription w:val="Table showing net and affordable housing completions against target for Broadland, Norwich and South Norfolk districts by year from 2014 to 2019."/>
      </w:tblPr>
      <w:tblGrid>
        <w:gridCol w:w="1693"/>
        <w:gridCol w:w="2384"/>
        <w:gridCol w:w="1985"/>
        <w:gridCol w:w="959"/>
        <w:gridCol w:w="850"/>
        <w:gridCol w:w="851"/>
        <w:gridCol w:w="850"/>
        <w:gridCol w:w="895"/>
      </w:tblGrid>
      <w:tr w:rsidRPr="00623AC1" w:rsidR="00623AC1" w:rsidTr="00285F45" w14:paraId="5C287146" w14:textId="77777777">
        <w:trPr>
          <w:cantSplit/>
          <w:trHeight w:val="315"/>
          <w:tblHeader/>
        </w:trPr>
        <w:tc>
          <w:tcPr>
            <w:tcW w:w="1693" w:type="dxa"/>
            <w:shd w:val="clear" w:color="auto" w:fill="F2F2F2" w:themeFill="background1" w:themeFillShade="F2"/>
            <w:noWrap/>
            <w:hideMark/>
          </w:tcPr>
          <w:p w:rsidRPr="00623AC1" w:rsidR="00623AC1" w:rsidP="00623AC1" w:rsidRDefault="00623AC1" w14:paraId="150CC717" w14:textId="77777777">
            <w:pPr>
              <w:rPr>
                <w:rFonts w:ascii="Arial" w:hAnsi="Arial" w:cs="Arial"/>
                <w:b/>
                <w:bCs/>
                <w:sz w:val="22"/>
                <w:szCs w:val="22"/>
              </w:rPr>
            </w:pPr>
            <w:r w:rsidRPr="00623AC1">
              <w:rPr>
                <w:rFonts w:ascii="Arial" w:hAnsi="Arial" w:cs="Arial"/>
                <w:b/>
                <w:bCs/>
                <w:sz w:val="22"/>
                <w:szCs w:val="22"/>
              </w:rPr>
              <w:t xml:space="preserve">Indicator </w:t>
            </w:r>
          </w:p>
        </w:tc>
        <w:tc>
          <w:tcPr>
            <w:tcW w:w="2384" w:type="dxa"/>
            <w:shd w:val="clear" w:color="auto" w:fill="F2F2F2" w:themeFill="background1" w:themeFillShade="F2"/>
            <w:noWrap/>
            <w:hideMark/>
          </w:tcPr>
          <w:p w:rsidRPr="00623AC1" w:rsidR="00623AC1" w:rsidP="00623AC1" w:rsidRDefault="00623AC1" w14:paraId="263E8CB5" w14:textId="77777777">
            <w:pPr>
              <w:rPr>
                <w:rFonts w:ascii="Arial" w:hAnsi="Arial" w:cs="Arial"/>
                <w:b/>
                <w:bCs/>
                <w:sz w:val="22"/>
                <w:szCs w:val="22"/>
              </w:rPr>
            </w:pPr>
            <w:r w:rsidRPr="00623AC1">
              <w:rPr>
                <w:rFonts w:ascii="Arial" w:hAnsi="Arial" w:cs="Arial"/>
                <w:b/>
                <w:bCs/>
                <w:sz w:val="22"/>
                <w:szCs w:val="22"/>
              </w:rPr>
              <w:t xml:space="preserve">Target </w:t>
            </w:r>
          </w:p>
        </w:tc>
        <w:tc>
          <w:tcPr>
            <w:tcW w:w="1985" w:type="dxa"/>
            <w:shd w:val="clear" w:color="auto" w:fill="F2F2F2" w:themeFill="background1" w:themeFillShade="F2"/>
            <w:noWrap/>
            <w:hideMark/>
          </w:tcPr>
          <w:p w:rsidRPr="00623AC1" w:rsidR="00623AC1" w:rsidP="00623AC1" w:rsidRDefault="00623AC1" w14:paraId="48A8BCF1" w14:textId="77777777">
            <w:pPr>
              <w:rPr>
                <w:rFonts w:ascii="Arial" w:hAnsi="Arial" w:cs="Arial"/>
                <w:b/>
                <w:bCs/>
                <w:sz w:val="22"/>
                <w:szCs w:val="22"/>
              </w:rPr>
            </w:pPr>
            <w:r w:rsidRPr="00623AC1">
              <w:rPr>
                <w:rFonts w:ascii="Arial" w:hAnsi="Arial" w:cs="Arial"/>
                <w:b/>
                <w:bCs/>
                <w:sz w:val="22"/>
                <w:szCs w:val="22"/>
              </w:rPr>
              <w:t>Location</w:t>
            </w:r>
          </w:p>
        </w:tc>
        <w:tc>
          <w:tcPr>
            <w:tcW w:w="959" w:type="dxa"/>
            <w:shd w:val="clear" w:color="auto" w:fill="F2F2F2" w:themeFill="background1" w:themeFillShade="F2"/>
            <w:noWrap/>
            <w:hideMark/>
          </w:tcPr>
          <w:p w:rsidRPr="00623AC1" w:rsidR="00623AC1" w:rsidP="00623AC1" w:rsidRDefault="00623AC1" w14:paraId="0C654471" w14:textId="77777777">
            <w:pPr>
              <w:jc w:val="both"/>
              <w:rPr>
                <w:rFonts w:ascii="Arial" w:hAnsi="Arial" w:cs="Arial"/>
                <w:b/>
                <w:bCs/>
                <w:sz w:val="22"/>
                <w:szCs w:val="22"/>
              </w:rPr>
            </w:pPr>
            <w:r w:rsidRPr="00623AC1">
              <w:rPr>
                <w:rFonts w:ascii="Arial" w:hAnsi="Arial" w:cs="Arial"/>
                <w:b/>
                <w:bCs/>
                <w:sz w:val="22"/>
                <w:szCs w:val="22"/>
              </w:rPr>
              <w:t xml:space="preserve"> 14/15</w:t>
            </w:r>
          </w:p>
        </w:tc>
        <w:tc>
          <w:tcPr>
            <w:tcW w:w="850" w:type="dxa"/>
            <w:shd w:val="clear" w:color="auto" w:fill="F2F2F2" w:themeFill="background1" w:themeFillShade="F2"/>
            <w:noWrap/>
            <w:hideMark/>
          </w:tcPr>
          <w:p w:rsidRPr="00623AC1" w:rsidR="00623AC1" w:rsidP="00623AC1" w:rsidRDefault="00623AC1" w14:paraId="23FF6331" w14:textId="77777777">
            <w:pPr>
              <w:rPr>
                <w:rFonts w:ascii="Arial" w:hAnsi="Arial" w:cs="Arial"/>
                <w:b/>
                <w:bCs/>
                <w:sz w:val="22"/>
                <w:szCs w:val="22"/>
              </w:rPr>
            </w:pPr>
            <w:r w:rsidRPr="00623AC1">
              <w:rPr>
                <w:rFonts w:ascii="Arial" w:hAnsi="Arial" w:cs="Arial"/>
                <w:b/>
                <w:bCs/>
                <w:sz w:val="22"/>
                <w:szCs w:val="22"/>
              </w:rPr>
              <w:t xml:space="preserve">15/16  </w:t>
            </w:r>
          </w:p>
        </w:tc>
        <w:tc>
          <w:tcPr>
            <w:tcW w:w="851" w:type="dxa"/>
            <w:shd w:val="clear" w:color="auto" w:fill="F2F2F2" w:themeFill="background1" w:themeFillShade="F2"/>
            <w:noWrap/>
            <w:hideMark/>
          </w:tcPr>
          <w:p w:rsidRPr="00623AC1" w:rsidR="00623AC1" w:rsidP="00623AC1" w:rsidRDefault="00623AC1" w14:paraId="178D14DD" w14:textId="77777777">
            <w:pPr>
              <w:rPr>
                <w:rFonts w:ascii="Arial" w:hAnsi="Arial" w:cs="Arial"/>
                <w:b/>
                <w:bCs/>
                <w:sz w:val="22"/>
                <w:szCs w:val="22"/>
              </w:rPr>
            </w:pPr>
            <w:r w:rsidRPr="00623AC1">
              <w:rPr>
                <w:rFonts w:ascii="Arial" w:hAnsi="Arial" w:cs="Arial"/>
                <w:b/>
                <w:bCs/>
                <w:sz w:val="22"/>
                <w:szCs w:val="22"/>
              </w:rPr>
              <w:t xml:space="preserve">16/17 </w:t>
            </w:r>
          </w:p>
        </w:tc>
        <w:tc>
          <w:tcPr>
            <w:tcW w:w="850" w:type="dxa"/>
            <w:shd w:val="clear" w:color="auto" w:fill="F2F2F2" w:themeFill="background1" w:themeFillShade="F2"/>
            <w:noWrap/>
            <w:hideMark/>
          </w:tcPr>
          <w:p w:rsidRPr="00623AC1" w:rsidR="00623AC1" w:rsidP="00623AC1" w:rsidRDefault="00623AC1" w14:paraId="1A660F65" w14:textId="77777777">
            <w:pPr>
              <w:rPr>
                <w:rFonts w:ascii="Arial" w:hAnsi="Arial" w:cs="Arial"/>
                <w:b/>
                <w:bCs/>
                <w:sz w:val="22"/>
                <w:szCs w:val="22"/>
              </w:rPr>
            </w:pPr>
            <w:r w:rsidRPr="00623AC1">
              <w:rPr>
                <w:rFonts w:ascii="Arial" w:hAnsi="Arial" w:cs="Arial"/>
                <w:b/>
                <w:bCs/>
                <w:sz w:val="22"/>
                <w:szCs w:val="22"/>
              </w:rPr>
              <w:t>17/18</w:t>
            </w:r>
          </w:p>
        </w:tc>
        <w:tc>
          <w:tcPr>
            <w:tcW w:w="895" w:type="dxa"/>
            <w:shd w:val="clear" w:color="auto" w:fill="F2F2F2" w:themeFill="background1" w:themeFillShade="F2"/>
            <w:noWrap/>
            <w:hideMark/>
          </w:tcPr>
          <w:p w:rsidRPr="00623AC1" w:rsidR="00623AC1" w:rsidP="00623AC1" w:rsidRDefault="00623AC1" w14:paraId="58695681" w14:textId="77777777">
            <w:pPr>
              <w:rPr>
                <w:rFonts w:ascii="Arial" w:hAnsi="Arial" w:cs="Arial"/>
                <w:b/>
                <w:bCs/>
                <w:sz w:val="22"/>
                <w:szCs w:val="22"/>
              </w:rPr>
            </w:pPr>
            <w:r w:rsidRPr="00623AC1">
              <w:rPr>
                <w:rFonts w:ascii="Arial" w:hAnsi="Arial" w:cs="Arial"/>
                <w:b/>
                <w:bCs/>
                <w:sz w:val="22"/>
                <w:szCs w:val="22"/>
              </w:rPr>
              <w:t xml:space="preserve">18/19 </w:t>
            </w:r>
          </w:p>
        </w:tc>
      </w:tr>
      <w:tr w:rsidRPr="00623AC1" w:rsidR="00623AC1" w:rsidTr="00285F45" w14:paraId="48E8448C" w14:textId="77777777">
        <w:trPr>
          <w:cantSplit/>
          <w:trHeight w:val="300"/>
          <w:tblHeader/>
        </w:trPr>
        <w:tc>
          <w:tcPr>
            <w:tcW w:w="1693" w:type="dxa"/>
            <w:vMerge w:val="restart"/>
            <w:noWrap/>
            <w:hideMark/>
          </w:tcPr>
          <w:p w:rsidRPr="00623AC1" w:rsidR="00623AC1" w:rsidP="00623AC1" w:rsidRDefault="00623AC1" w14:paraId="168E5F2D" w14:textId="77777777">
            <w:pPr>
              <w:rPr>
                <w:rFonts w:ascii="Arial" w:hAnsi="Arial" w:cs="Arial"/>
                <w:b/>
                <w:bCs/>
                <w:sz w:val="22"/>
                <w:szCs w:val="22"/>
              </w:rPr>
            </w:pPr>
            <w:r w:rsidRPr="00623AC1">
              <w:rPr>
                <w:rFonts w:ascii="Arial" w:hAnsi="Arial" w:cs="Arial"/>
                <w:b/>
                <w:bCs/>
                <w:sz w:val="22"/>
                <w:szCs w:val="22"/>
              </w:rPr>
              <w:t>Net housing completions</w:t>
            </w:r>
          </w:p>
        </w:tc>
        <w:tc>
          <w:tcPr>
            <w:tcW w:w="2384" w:type="dxa"/>
            <w:noWrap/>
            <w:hideMark/>
          </w:tcPr>
          <w:p w:rsidRPr="00623AC1" w:rsidR="00623AC1" w:rsidP="00623AC1" w:rsidRDefault="00623AC1" w14:paraId="6EE60588" w14:textId="77777777">
            <w:pPr>
              <w:rPr>
                <w:rFonts w:ascii="Arial" w:hAnsi="Arial" w:cs="Arial"/>
                <w:b/>
                <w:sz w:val="22"/>
                <w:szCs w:val="22"/>
              </w:rPr>
            </w:pPr>
            <w:r w:rsidRPr="00623AC1">
              <w:rPr>
                <w:rFonts w:ascii="Arial" w:hAnsi="Arial" w:cs="Arial"/>
                <w:b/>
                <w:sz w:val="22"/>
                <w:szCs w:val="22"/>
              </w:rPr>
              <w:t>Broadland - 706 pa</w:t>
            </w:r>
          </w:p>
        </w:tc>
        <w:tc>
          <w:tcPr>
            <w:tcW w:w="1985" w:type="dxa"/>
            <w:noWrap/>
            <w:hideMark/>
          </w:tcPr>
          <w:p w:rsidRPr="00623AC1" w:rsidR="00623AC1" w:rsidP="00623AC1" w:rsidRDefault="00623AC1" w14:paraId="096F177D" w14:textId="77777777">
            <w:pPr>
              <w:rPr>
                <w:rFonts w:ascii="Arial" w:hAnsi="Arial" w:cs="Arial"/>
                <w:b/>
                <w:sz w:val="22"/>
                <w:szCs w:val="22"/>
              </w:rPr>
            </w:pPr>
            <w:r w:rsidRPr="00623AC1">
              <w:rPr>
                <w:rFonts w:ascii="Arial" w:hAnsi="Arial" w:cs="Arial"/>
                <w:b/>
                <w:sz w:val="22"/>
                <w:szCs w:val="22"/>
              </w:rPr>
              <w:t>Broadland</w:t>
            </w:r>
          </w:p>
        </w:tc>
        <w:tc>
          <w:tcPr>
            <w:tcW w:w="959" w:type="dxa"/>
            <w:noWrap/>
            <w:hideMark/>
          </w:tcPr>
          <w:p w:rsidRPr="00623AC1" w:rsidR="00623AC1" w:rsidP="00623AC1" w:rsidRDefault="00623AC1" w14:paraId="05E4CB3D" w14:textId="77777777">
            <w:pPr>
              <w:rPr>
                <w:rFonts w:ascii="Arial" w:hAnsi="Arial" w:cs="Arial"/>
                <w:sz w:val="22"/>
                <w:szCs w:val="22"/>
              </w:rPr>
            </w:pPr>
            <w:r w:rsidRPr="00623AC1">
              <w:rPr>
                <w:rFonts w:ascii="Arial" w:hAnsi="Arial" w:cs="Arial"/>
                <w:sz w:val="22"/>
                <w:szCs w:val="22"/>
              </w:rPr>
              <w:t>405</w:t>
            </w:r>
          </w:p>
        </w:tc>
        <w:tc>
          <w:tcPr>
            <w:tcW w:w="850" w:type="dxa"/>
            <w:noWrap/>
            <w:hideMark/>
          </w:tcPr>
          <w:p w:rsidRPr="00623AC1" w:rsidR="00623AC1" w:rsidP="00623AC1" w:rsidRDefault="00623AC1" w14:paraId="355598CF" w14:textId="77777777">
            <w:pPr>
              <w:rPr>
                <w:rFonts w:ascii="Arial" w:hAnsi="Arial" w:cs="Arial"/>
                <w:sz w:val="22"/>
                <w:szCs w:val="22"/>
              </w:rPr>
            </w:pPr>
            <w:r w:rsidRPr="00623AC1">
              <w:rPr>
                <w:rFonts w:ascii="Arial" w:hAnsi="Arial" w:cs="Arial"/>
                <w:sz w:val="22"/>
                <w:szCs w:val="22"/>
              </w:rPr>
              <w:t>598</w:t>
            </w:r>
          </w:p>
        </w:tc>
        <w:tc>
          <w:tcPr>
            <w:tcW w:w="851" w:type="dxa"/>
            <w:noWrap/>
            <w:hideMark/>
          </w:tcPr>
          <w:p w:rsidRPr="00623AC1" w:rsidR="00623AC1" w:rsidP="00623AC1" w:rsidRDefault="00623AC1" w14:paraId="2FD41923" w14:textId="77777777">
            <w:pPr>
              <w:rPr>
                <w:rFonts w:ascii="Arial" w:hAnsi="Arial" w:cs="Arial"/>
                <w:sz w:val="22"/>
                <w:szCs w:val="22"/>
              </w:rPr>
            </w:pPr>
            <w:r w:rsidRPr="00623AC1">
              <w:rPr>
                <w:rFonts w:ascii="Arial" w:hAnsi="Arial" w:cs="Arial"/>
                <w:sz w:val="22"/>
                <w:szCs w:val="22"/>
              </w:rPr>
              <w:t>644</w:t>
            </w:r>
          </w:p>
        </w:tc>
        <w:tc>
          <w:tcPr>
            <w:tcW w:w="850" w:type="dxa"/>
            <w:noWrap/>
            <w:hideMark/>
          </w:tcPr>
          <w:p w:rsidRPr="00623AC1" w:rsidR="00623AC1" w:rsidP="00623AC1" w:rsidRDefault="00623AC1" w14:paraId="76D528AE" w14:textId="77777777">
            <w:pPr>
              <w:rPr>
                <w:rFonts w:ascii="Arial" w:hAnsi="Arial" w:cs="Arial"/>
                <w:sz w:val="22"/>
                <w:szCs w:val="22"/>
              </w:rPr>
            </w:pPr>
            <w:r w:rsidRPr="00623AC1">
              <w:rPr>
                <w:rFonts w:ascii="Arial" w:hAnsi="Arial" w:cs="Arial"/>
                <w:sz w:val="22"/>
                <w:szCs w:val="22"/>
              </w:rPr>
              <w:t>679</w:t>
            </w:r>
          </w:p>
        </w:tc>
        <w:tc>
          <w:tcPr>
            <w:tcW w:w="895" w:type="dxa"/>
            <w:noWrap/>
            <w:hideMark/>
          </w:tcPr>
          <w:p w:rsidRPr="00623AC1" w:rsidR="00623AC1" w:rsidP="00623AC1" w:rsidRDefault="00623AC1" w14:paraId="6A869AA9" w14:textId="77777777">
            <w:pPr>
              <w:rPr>
                <w:rFonts w:ascii="Arial" w:hAnsi="Arial" w:cs="Arial"/>
                <w:sz w:val="22"/>
                <w:szCs w:val="22"/>
              </w:rPr>
            </w:pPr>
            <w:r w:rsidRPr="00623AC1">
              <w:rPr>
                <w:rFonts w:ascii="Arial" w:hAnsi="Arial" w:cs="Arial"/>
                <w:sz w:val="22"/>
                <w:szCs w:val="22"/>
              </w:rPr>
              <w:t>640</w:t>
            </w:r>
          </w:p>
        </w:tc>
      </w:tr>
      <w:tr w:rsidRPr="00623AC1" w:rsidR="00623AC1" w:rsidTr="00285F45" w14:paraId="0CF57F8B" w14:textId="77777777">
        <w:trPr>
          <w:cantSplit/>
          <w:trHeight w:val="300"/>
          <w:tblHeader/>
        </w:trPr>
        <w:tc>
          <w:tcPr>
            <w:tcW w:w="1693" w:type="dxa"/>
            <w:vMerge/>
            <w:hideMark/>
          </w:tcPr>
          <w:p w:rsidRPr="00623AC1" w:rsidR="00623AC1" w:rsidP="00623AC1" w:rsidRDefault="00623AC1" w14:paraId="119A9211" w14:textId="77777777">
            <w:pPr>
              <w:rPr>
                <w:rFonts w:ascii="Arial" w:hAnsi="Arial" w:cs="Arial"/>
                <w:b/>
                <w:bCs/>
                <w:sz w:val="22"/>
                <w:szCs w:val="22"/>
              </w:rPr>
            </w:pPr>
          </w:p>
        </w:tc>
        <w:tc>
          <w:tcPr>
            <w:tcW w:w="2384" w:type="dxa"/>
            <w:noWrap/>
            <w:hideMark/>
          </w:tcPr>
          <w:p w:rsidRPr="00623AC1" w:rsidR="00623AC1" w:rsidP="00623AC1" w:rsidRDefault="00623AC1" w14:paraId="71E25C88" w14:textId="77777777">
            <w:pPr>
              <w:rPr>
                <w:rFonts w:ascii="Arial" w:hAnsi="Arial" w:cs="Arial"/>
                <w:b/>
                <w:sz w:val="22"/>
                <w:szCs w:val="22"/>
              </w:rPr>
            </w:pPr>
            <w:r w:rsidRPr="00623AC1">
              <w:rPr>
                <w:rFonts w:ascii="Arial" w:hAnsi="Arial" w:cs="Arial"/>
                <w:b/>
                <w:sz w:val="22"/>
                <w:szCs w:val="22"/>
              </w:rPr>
              <w:t>Norwich - 477 pa</w:t>
            </w:r>
          </w:p>
        </w:tc>
        <w:tc>
          <w:tcPr>
            <w:tcW w:w="1985" w:type="dxa"/>
            <w:noWrap/>
            <w:hideMark/>
          </w:tcPr>
          <w:p w:rsidRPr="00623AC1" w:rsidR="00623AC1" w:rsidP="00623AC1" w:rsidRDefault="00623AC1" w14:paraId="1404BCC1" w14:textId="77777777">
            <w:pPr>
              <w:rPr>
                <w:rFonts w:ascii="Arial" w:hAnsi="Arial" w:cs="Arial"/>
                <w:b/>
                <w:sz w:val="22"/>
                <w:szCs w:val="22"/>
              </w:rPr>
            </w:pPr>
            <w:r w:rsidRPr="00623AC1">
              <w:rPr>
                <w:rFonts w:ascii="Arial" w:hAnsi="Arial" w:cs="Arial"/>
                <w:b/>
                <w:sz w:val="22"/>
                <w:szCs w:val="22"/>
              </w:rPr>
              <w:t>Norwich</w:t>
            </w:r>
          </w:p>
        </w:tc>
        <w:tc>
          <w:tcPr>
            <w:tcW w:w="959" w:type="dxa"/>
            <w:noWrap/>
            <w:hideMark/>
          </w:tcPr>
          <w:p w:rsidRPr="00623AC1" w:rsidR="00623AC1" w:rsidP="00623AC1" w:rsidRDefault="00623AC1" w14:paraId="14C9E898" w14:textId="77777777">
            <w:pPr>
              <w:rPr>
                <w:rFonts w:ascii="Arial" w:hAnsi="Arial" w:cs="Arial"/>
                <w:sz w:val="22"/>
                <w:szCs w:val="22"/>
              </w:rPr>
            </w:pPr>
            <w:r w:rsidRPr="00623AC1">
              <w:rPr>
                <w:rFonts w:ascii="Arial" w:hAnsi="Arial" w:cs="Arial"/>
                <w:sz w:val="22"/>
                <w:szCs w:val="22"/>
              </w:rPr>
              <w:t>249</w:t>
            </w:r>
          </w:p>
        </w:tc>
        <w:tc>
          <w:tcPr>
            <w:tcW w:w="850" w:type="dxa"/>
            <w:noWrap/>
            <w:hideMark/>
          </w:tcPr>
          <w:p w:rsidRPr="00623AC1" w:rsidR="00623AC1" w:rsidP="00623AC1" w:rsidRDefault="00623AC1" w14:paraId="20ECD6B4" w14:textId="77777777">
            <w:pPr>
              <w:rPr>
                <w:rFonts w:ascii="Arial" w:hAnsi="Arial" w:cs="Arial"/>
                <w:sz w:val="22"/>
                <w:szCs w:val="22"/>
              </w:rPr>
            </w:pPr>
            <w:r w:rsidRPr="00623AC1">
              <w:rPr>
                <w:rFonts w:ascii="Arial" w:hAnsi="Arial" w:cs="Arial"/>
                <w:sz w:val="22"/>
                <w:szCs w:val="22"/>
              </w:rPr>
              <w:t>365</w:t>
            </w:r>
          </w:p>
        </w:tc>
        <w:tc>
          <w:tcPr>
            <w:tcW w:w="851" w:type="dxa"/>
            <w:noWrap/>
            <w:hideMark/>
          </w:tcPr>
          <w:p w:rsidRPr="00623AC1" w:rsidR="00623AC1" w:rsidP="00623AC1" w:rsidRDefault="00623AC1" w14:paraId="38F575CF" w14:textId="77777777">
            <w:pPr>
              <w:rPr>
                <w:rFonts w:ascii="Arial" w:hAnsi="Arial" w:cs="Arial"/>
                <w:sz w:val="22"/>
                <w:szCs w:val="22"/>
              </w:rPr>
            </w:pPr>
            <w:r w:rsidRPr="00623AC1">
              <w:rPr>
                <w:rFonts w:ascii="Arial" w:hAnsi="Arial" w:cs="Arial"/>
                <w:sz w:val="22"/>
                <w:szCs w:val="22"/>
              </w:rPr>
              <w:t>445</w:t>
            </w:r>
          </w:p>
        </w:tc>
        <w:tc>
          <w:tcPr>
            <w:tcW w:w="850" w:type="dxa"/>
            <w:noWrap/>
            <w:hideMark/>
          </w:tcPr>
          <w:p w:rsidRPr="00623AC1" w:rsidR="00623AC1" w:rsidP="00623AC1" w:rsidRDefault="00623AC1" w14:paraId="3BB54570" w14:textId="77777777">
            <w:pPr>
              <w:rPr>
                <w:rFonts w:ascii="Arial" w:hAnsi="Arial" w:cs="Arial"/>
                <w:sz w:val="22"/>
                <w:szCs w:val="22"/>
              </w:rPr>
            </w:pPr>
            <w:r w:rsidRPr="00623AC1">
              <w:rPr>
                <w:rFonts w:ascii="Arial" w:hAnsi="Arial" w:cs="Arial"/>
                <w:sz w:val="22"/>
                <w:szCs w:val="22"/>
              </w:rPr>
              <w:t>237</w:t>
            </w:r>
          </w:p>
        </w:tc>
        <w:tc>
          <w:tcPr>
            <w:tcW w:w="895" w:type="dxa"/>
            <w:noWrap/>
            <w:hideMark/>
          </w:tcPr>
          <w:p w:rsidRPr="00623AC1" w:rsidR="00623AC1" w:rsidP="00623AC1" w:rsidRDefault="00623AC1" w14:paraId="3435BF37" w14:textId="77777777">
            <w:pPr>
              <w:rPr>
                <w:rFonts w:ascii="Arial" w:hAnsi="Arial" w:cs="Arial"/>
                <w:sz w:val="22"/>
                <w:szCs w:val="22"/>
              </w:rPr>
            </w:pPr>
            <w:r w:rsidRPr="00623AC1">
              <w:rPr>
                <w:rFonts w:ascii="Arial" w:hAnsi="Arial" w:cs="Arial"/>
                <w:sz w:val="22"/>
                <w:szCs w:val="22"/>
              </w:rPr>
              <w:t>927</w:t>
            </w:r>
          </w:p>
        </w:tc>
      </w:tr>
      <w:tr w:rsidRPr="00623AC1" w:rsidR="00623AC1" w:rsidTr="00285F45" w14:paraId="3C854F2B" w14:textId="77777777">
        <w:trPr>
          <w:cantSplit/>
          <w:trHeight w:val="315"/>
          <w:tblHeader/>
        </w:trPr>
        <w:tc>
          <w:tcPr>
            <w:tcW w:w="1693" w:type="dxa"/>
            <w:vMerge/>
            <w:hideMark/>
          </w:tcPr>
          <w:p w:rsidRPr="00623AC1" w:rsidR="00623AC1" w:rsidP="00623AC1" w:rsidRDefault="00623AC1" w14:paraId="412AB3D0" w14:textId="77777777">
            <w:pPr>
              <w:rPr>
                <w:rFonts w:ascii="Arial" w:hAnsi="Arial" w:cs="Arial"/>
                <w:b/>
                <w:bCs/>
                <w:sz w:val="22"/>
                <w:szCs w:val="22"/>
              </w:rPr>
            </w:pPr>
          </w:p>
        </w:tc>
        <w:tc>
          <w:tcPr>
            <w:tcW w:w="2384" w:type="dxa"/>
            <w:noWrap/>
            <w:hideMark/>
          </w:tcPr>
          <w:p w:rsidRPr="00623AC1" w:rsidR="00623AC1" w:rsidP="00623AC1" w:rsidRDefault="00623AC1" w14:paraId="1E4114DF" w14:textId="77777777">
            <w:pPr>
              <w:rPr>
                <w:rFonts w:ascii="Arial" w:hAnsi="Arial" w:cs="Arial"/>
                <w:b/>
                <w:sz w:val="22"/>
                <w:szCs w:val="22"/>
              </w:rPr>
            </w:pPr>
            <w:r w:rsidRPr="00623AC1">
              <w:rPr>
                <w:rFonts w:ascii="Arial" w:hAnsi="Arial" w:cs="Arial"/>
                <w:b/>
                <w:sz w:val="22"/>
                <w:szCs w:val="22"/>
              </w:rPr>
              <w:t>South Norfolk - 863 pa</w:t>
            </w:r>
          </w:p>
        </w:tc>
        <w:tc>
          <w:tcPr>
            <w:tcW w:w="1985" w:type="dxa"/>
            <w:noWrap/>
            <w:hideMark/>
          </w:tcPr>
          <w:p w:rsidRPr="00623AC1" w:rsidR="00623AC1" w:rsidP="00623AC1" w:rsidRDefault="00623AC1" w14:paraId="41CA6E7A" w14:textId="77777777">
            <w:pPr>
              <w:rPr>
                <w:rFonts w:ascii="Arial" w:hAnsi="Arial" w:cs="Arial"/>
                <w:b/>
                <w:sz w:val="22"/>
                <w:szCs w:val="22"/>
              </w:rPr>
            </w:pPr>
            <w:r w:rsidRPr="00623AC1">
              <w:rPr>
                <w:rFonts w:ascii="Arial" w:hAnsi="Arial" w:cs="Arial"/>
                <w:b/>
                <w:sz w:val="22"/>
                <w:szCs w:val="22"/>
              </w:rPr>
              <w:t>South Norfolk</w:t>
            </w:r>
          </w:p>
        </w:tc>
        <w:tc>
          <w:tcPr>
            <w:tcW w:w="959" w:type="dxa"/>
            <w:noWrap/>
            <w:hideMark/>
          </w:tcPr>
          <w:p w:rsidRPr="00623AC1" w:rsidR="00623AC1" w:rsidP="00623AC1" w:rsidRDefault="00623AC1" w14:paraId="0DFD1265" w14:textId="77777777">
            <w:pPr>
              <w:rPr>
                <w:rFonts w:ascii="Arial" w:hAnsi="Arial" w:cs="Arial"/>
                <w:sz w:val="22"/>
                <w:szCs w:val="22"/>
              </w:rPr>
            </w:pPr>
            <w:r w:rsidRPr="00623AC1">
              <w:rPr>
                <w:rFonts w:ascii="Arial" w:hAnsi="Arial" w:cs="Arial"/>
                <w:sz w:val="22"/>
                <w:szCs w:val="22"/>
              </w:rPr>
              <w:t>1027</w:t>
            </w:r>
          </w:p>
        </w:tc>
        <w:tc>
          <w:tcPr>
            <w:tcW w:w="850" w:type="dxa"/>
            <w:noWrap/>
            <w:hideMark/>
          </w:tcPr>
          <w:p w:rsidRPr="00623AC1" w:rsidR="00623AC1" w:rsidP="00623AC1" w:rsidRDefault="00623AC1" w14:paraId="40B75886" w14:textId="77777777">
            <w:pPr>
              <w:rPr>
                <w:rFonts w:ascii="Arial" w:hAnsi="Arial" w:cs="Arial"/>
                <w:sz w:val="22"/>
                <w:szCs w:val="22"/>
              </w:rPr>
            </w:pPr>
            <w:r w:rsidRPr="00623AC1">
              <w:rPr>
                <w:rFonts w:ascii="Arial" w:hAnsi="Arial" w:cs="Arial"/>
                <w:sz w:val="22"/>
                <w:szCs w:val="22"/>
              </w:rPr>
              <w:t>765</w:t>
            </w:r>
          </w:p>
        </w:tc>
        <w:tc>
          <w:tcPr>
            <w:tcW w:w="851" w:type="dxa"/>
            <w:noWrap/>
            <w:hideMark/>
          </w:tcPr>
          <w:p w:rsidRPr="00623AC1" w:rsidR="00623AC1" w:rsidP="00623AC1" w:rsidRDefault="00623AC1" w14:paraId="54CBF07C" w14:textId="77777777">
            <w:pPr>
              <w:rPr>
                <w:rFonts w:ascii="Arial" w:hAnsi="Arial" w:cs="Arial"/>
                <w:sz w:val="22"/>
                <w:szCs w:val="22"/>
              </w:rPr>
            </w:pPr>
            <w:r w:rsidRPr="00623AC1">
              <w:rPr>
                <w:rFonts w:ascii="Arial" w:hAnsi="Arial" w:cs="Arial"/>
                <w:sz w:val="22"/>
                <w:szCs w:val="22"/>
              </w:rPr>
              <w:t>1162</w:t>
            </w:r>
          </w:p>
        </w:tc>
        <w:tc>
          <w:tcPr>
            <w:tcW w:w="850" w:type="dxa"/>
            <w:noWrap/>
            <w:hideMark/>
          </w:tcPr>
          <w:p w:rsidRPr="00623AC1" w:rsidR="00623AC1" w:rsidP="00623AC1" w:rsidRDefault="00623AC1" w14:paraId="2ED59CCA" w14:textId="77777777">
            <w:pPr>
              <w:rPr>
                <w:rFonts w:ascii="Arial" w:hAnsi="Arial" w:cs="Arial"/>
                <w:sz w:val="22"/>
                <w:szCs w:val="22"/>
              </w:rPr>
            </w:pPr>
            <w:r w:rsidRPr="00623AC1">
              <w:rPr>
                <w:rFonts w:ascii="Arial" w:hAnsi="Arial" w:cs="Arial"/>
                <w:sz w:val="22"/>
                <w:szCs w:val="22"/>
              </w:rPr>
              <w:t>1118</w:t>
            </w:r>
          </w:p>
        </w:tc>
        <w:tc>
          <w:tcPr>
            <w:tcW w:w="895" w:type="dxa"/>
            <w:noWrap/>
            <w:hideMark/>
          </w:tcPr>
          <w:p w:rsidRPr="00623AC1" w:rsidR="00623AC1" w:rsidP="00623AC1" w:rsidRDefault="00623AC1" w14:paraId="53ECBFC2" w14:textId="77777777">
            <w:pPr>
              <w:rPr>
                <w:rFonts w:ascii="Arial" w:hAnsi="Arial" w:cs="Arial"/>
                <w:sz w:val="22"/>
                <w:szCs w:val="22"/>
              </w:rPr>
            </w:pPr>
            <w:r w:rsidRPr="00623AC1">
              <w:rPr>
                <w:rFonts w:ascii="Arial" w:hAnsi="Arial" w:cs="Arial"/>
                <w:sz w:val="22"/>
                <w:szCs w:val="22"/>
              </w:rPr>
              <w:t>1212</w:t>
            </w:r>
          </w:p>
        </w:tc>
      </w:tr>
      <w:tr w:rsidRPr="00623AC1" w:rsidR="00623AC1" w:rsidTr="00285F45" w14:paraId="08D18E5B" w14:textId="77777777">
        <w:trPr>
          <w:cantSplit/>
          <w:trHeight w:val="315"/>
          <w:tblHeader/>
        </w:trPr>
        <w:tc>
          <w:tcPr>
            <w:tcW w:w="1693" w:type="dxa"/>
            <w:vMerge/>
            <w:hideMark/>
          </w:tcPr>
          <w:p w:rsidRPr="00623AC1" w:rsidR="00623AC1" w:rsidP="00623AC1" w:rsidRDefault="00623AC1" w14:paraId="613AE85B" w14:textId="77777777">
            <w:pPr>
              <w:rPr>
                <w:rFonts w:ascii="Arial" w:hAnsi="Arial" w:cs="Arial"/>
                <w:b/>
                <w:bCs/>
                <w:sz w:val="22"/>
                <w:szCs w:val="22"/>
              </w:rPr>
            </w:pPr>
          </w:p>
        </w:tc>
        <w:tc>
          <w:tcPr>
            <w:tcW w:w="2384" w:type="dxa"/>
            <w:noWrap/>
            <w:hideMark/>
          </w:tcPr>
          <w:p w:rsidRPr="00623AC1" w:rsidR="00623AC1" w:rsidP="00623AC1" w:rsidRDefault="00623AC1" w14:paraId="2BF0CCB1" w14:textId="77777777">
            <w:pPr>
              <w:rPr>
                <w:rFonts w:ascii="Arial" w:hAnsi="Arial" w:cs="Arial"/>
                <w:b/>
                <w:bCs/>
                <w:sz w:val="22"/>
                <w:szCs w:val="22"/>
              </w:rPr>
            </w:pPr>
            <w:r w:rsidRPr="00623AC1">
              <w:rPr>
                <w:rFonts w:ascii="Arial" w:hAnsi="Arial" w:cs="Arial"/>
                <w:b/>
                <w:bCs/>
                <w:sz w:val="22"/>
                <w:szCs w:val="22"/>
              </w:rPr>
              <w:t>Greater Norwich – 2,046 pa</w:t>
            </w:r>
          </w:p>
        </w:tc>
        <w:tc>
          <w:tcPr>
            <w:tcW w:w="1985" w:type="dxa"/>
            <w:noWrap/>
            <w:hideMark/>
          </w:tcPr>
          <w:p w:rsidRPr="00623AC1" w:rsidR="00623AC1" w:rsidP="00623AC1" w:rsidRDefault="00623AC1" w14:paraId="4FE96FC7" w14:textId="77777777">
            <w:pPr>
              <w:rPr>
                <w:rFonts w:ascii="Arial" w:hAnsi="Arial" w:cs="Arial"/>
                <w:b/>
                <w:bCs/>
                <w:sz w:val="22"/>
                <w:szCs w:val="22"/>
              </w:rPr>
            </w:pPr>
            <w:r w:rsidRPr="00623AC1">
              <w:rPr>
                <w:rFonts w:ascii="Arial" w:hAnsi="Arial" w:cs="Arial"/>
                <w:b/>
                <w:bCs/>
                <w:sz w:val="22"/>
                <w:szCs w:val="22"/>
              </w:rPr>
              <w:t>Greater Norwich</w:t>
            </w:r>
          </w:p>
        </w:tc>
        <w:tc>
          <w:tcPr>
            <w:tcW w:w="959" w:type="dxa"/>
            <w:noWrap/>
            <w:hideMark/>
          </w:tcPr>
          <w:p w:rsidRPr="00623AC1" w:rsidR="00623AC1" w:rsidP="00623AC1" w:rsidRDefault="00623AC1" w14:paraId="4971F817" w14:textId="77777777">
            <w:pPr>
              <w:rPr>
                <w:rFonts w:ascii="Arial" w:hAnsi="Arial" w:cs="Arial"/>
                <w:b/>
                <w:bCs/>
                <w:sz w:val="22"/>
                <w:szCs w:val="22"/>
              </w:rPr>
            </w:pPr>
            <w:r w:rsidRPr="00623AC1">
              <w:rPr>
                <w:rFonts w:ascii="Arial" w:hAnsi="Arial" w:cs="Arial"/>
                <w:b/>
                <w:bCs/>
                <w:sz w:val="22"/>
                <w:szCs w:val="22"/>
              </w:rPr>
              <w:t>1681</w:t>
            </w:r>
          </w:p>
        </w:tc>
        <w:tc>
          <w:tcPr>
            <w:tcW w:w="850" w:type="dxa"/>
            <w:noWrap/>
            <w:hideMark/>
          </w:tcPr>
          <w:p w:rsidRPr="00623AC1" w:rsidR="00623AC1" w:rsidP="00623AC1" w:rsidRDefault="00623AC1" w14:paraId="3447592E" w14:textId="77777777">
            <w:pPr>
              <w:rPr>
                <w:rFonts w:ascii="Arial" w:hAnsi="Arial" w:cs="Arial"/>
                <w:b/>
                <w:bCs/>
                <w:sz w:val="22"/>
                <w:szCs w:val="22"/>
              </w:rPr>
            </w:pPr>
            <w:r w:rsidRPr="00623AC1">
              <w:rPr>
                <w:rFonts w:ascii="Arial" w:hAnsi="Arial" w:cs="Arial"/>
                <w:b/>
                <w:bCs/>
                <w:sz w:val="22"/>
                <w:szCs w:val="22"/>
              </w:rPr>
              <w:t>1728</w:t>
            </w:r>
          </w:p>
        </w:tc>
        <w:tc>
          <w:tcPr>
            <w:tcW w:w="851" w:type="dxa"/>
            <w:noWrap/>
            <w:hideMark/>
          </w:tcPr>
          <w:p w:rsidRPr="00623AC1" w:rsidR="00623AC1" w:rsidP="00623AC1" w:rsidRDefault="00623AC1" w14:paraId="303516D9" w14:textId="77777777">
            <w:pPr>
              <w:rPr>
                <w:rFonts w:ascii="Arial" w:hAnsi="Arial" w:cs="Arial"/>
                <w:b/>
                <w:bCs/>
                <w:sz w:val="22"/>
                <w:szCs w:val="22"/>
              </w:rPr>
            </w:pPr>
            <w:r w:rsidRPr="00623AC1">
              <w:rPr>
                <w:rFonts w:ascii="Arial" w:hAnsi="Arial" w:cs="Arial"/>
                <w:b/>
                <w:bCs/>
                <w:sz w:val="22"/>
                <w:szCs w:val="22"/>
              </w:rPr>
              <w:t>2251</w:t>
            </w:r>
          </w:p>
        </w:tc>
        <w:tc>
          <w:tcPr>
            <w:tcW w:w="850" w:type="dxa"/>
            <w:noWrap/>
            <w:hideMark/>
          </w:tcPr>
          <w:p w:rsidRPr="00623AC1" w:rsidR="00623AC1" w:rsidP="00623AC1" w:rsidRDefault="00623AC1" w14:paraId="7FBA5433" w14:textId="77777777">
            <w:pPr>
              <w:rPr>
                <w:rFonts w:ascii="Arial" w:hAnsi="Arial" w:cs="Arial"/>
                <w:b/>
                <w:bCs/>
                <w:sz w:val="22"/>
                <w:szCs w:val="22"/>
              </w:rPr>
            </w:pPr>
            <w:r w:rsidRPr="00623AC1">
              <w:rPr>
                <w:rFonts w:ascii="Arial" w:hAnsi="Arial" w:cs="Arial"/>
                <w:b/>
                <w:bCs/>
                <w:sz w:val="22"/>
                <w:szCs w:val="22"/>
              </w:rPr>
              <w:t>2034</w:t>
            </w:r>
          </w:p>
        </w:tc>
        <w:tc>
          <w:tcPr>
            <w:tcW w:w="895" w:type="dxa"/>
            <w:noWrap/>
            <w:hideMark/>
          </w:tcPr>
          <w:p w:rsidRPr="00623AC1" w:rsidR="00623AC1" w:rsidP="00623AC1" w:rsidRDefault="00623AC1" w14:paraId="2A3D32C6" w14:textId="77777777">
            <w:pPr>
              <w:rPr>
                <w:rFonts w:ascii="Arial" w:hAnsi="Arial" w:cs="Arial"/>
                <w:b/>
                <w:bCs/>
                <w:sz w:val="22"/>
                <w:szCs w:val="22"/>
              </w:rPr>
            </w:pPr>
            <w:r w:rsidRPr="00623AC1">
              <w:rPr>
                <w:rFonts w:ascii="Arial" w:hAnsi="Arial" w:cs="Arial"/>
                <w:b/>
                <w:bCs/>
                <w:sz w:val="22"/>
                <w:szCs w:val="22"/>
              </w:rPr>
              <w:t>2779</w:t>
            </w:r>
          </w:p>
        </w:tc>
      </w:tr>
      <w:tr w:rsidRPr="00623AC1" w:rsidR="00623AC1" w:rsidTr="00285F45" w14:paraId="598C0A20" w14:textId="77777777">
        <w:trPr>
          <w:cantSplit/>
          <w:trHeight w:val="300"/>
          <w:tblHeader/>
        </w:trPr>
        <w:tc>
          <w:tcPr>
            <w:tcW w:w="1693" w:type="dxa"/>
            <w:vMerge w:val="restart"/>
            <w:noWrap/>
            <w:hideMark/>
          </w:tcPr>
          <w:p w:rsidRPr="00623AC1" w:rsidR="00623AC1" w:rsidP="00623AC1" w:rsidRDefault="00623AC1" w14:paraId="6A4EE3EA" w14:textId="77777777">
            <w:pPr>
              <w:rPr>
                <w:rFonts w:ascii="Arial" w:hAnsi="Arial" w:cs="Arial"/>
                <w:b/>
                <w:bCs/>
                <w:sz w:val="22"/>
                <w:szCs w:val="22"/>
              </w:rPr>
            </w:pPr>
            <w:r w:rsidRPr="00623AC1">
              <w:rPr>
                <w:rFonts w:ascii="Arial" w:hAnsi="Arial" w:cs="Arial"/>
                <w:b/>
                <w:bCs/>
                <w:sz w:val="22"/>
                <w:szCs w:val="22"/>
              </w:rPr>
              <w:t>Affordable Housing Completions</w:t>
            </w:r>
          </w:p>
        </w:tc>
        <w:tc>
          <w:tcPr>
            <w:tcW w:w="2384" w:type="dxa"/>
            <w:vMerge w:val="restart"/>
            <w:noWrap/>
            <w:hideMark/>
          </w:tcPr>
          <w:p w:rsidRPr="00623AC1" w:rsidR="00623AC1" w:rsidP="00623AC1" w:rsidRDefault="00623AC1" w14:paraId="6F8A8450" w14:textId="77777777">
            <w:pPr>
              <w:rPr>
                <w:rFonts w:ascii="Arial" w:hAnsi="Arial" w:cs="Arial"/>
                <w:b/>
                <w:sz w:val="22"/>
                <w:szCs w:val="22"/>
              </w:rPr>
            </w:pPr>
            <w:r w:rsidRPr="00623AC1">
              <w:rPr>
                <w:rFonts w:ascii="Arial" w:hAnsi="Arial" w:cs="Arial"/>
                <w:b/>
                <w:sz w:val="22"/>
                <w:szCs w:val="22"/>
              </w:rPr>
              <w:t xml:space="preserve">Greater Norwich - </w:t>
            </w:r>
            <w:r w:rsidRPr="00F46089">
              <w:rPr>
                <w:rFonts w:ascii="Arial" w:hAnsi="Arial" w:cs="Arial"/>
                <w:b/>
                <w:sz w:val="22"/>
                <w:szCs w:val="22"/>
              </w:rPr>
              <w:t>525</w:t>
            </w:r>
            <w:r w:rsidRPr="00623AC1">
              <w:rPr>
                <w:rFonts w:ascii="Arial" w:hAnsi="Arial" w:cs="Arial"/>
                <w:b/>
                <w:sz w:val="22"/>
                <w:szCs w:val="22"/>
              </w:rPr>
              <w:t xml:space="preserve"> pa</w:t>
            </w:r>
          </w:p>
        </w:tc>
        <w:tc>
          <w:tcPr>
            <w:tcW w:w="1985" w:type="dxa"/>
            <w:noWrap/>
            <w:hideMark/>
          </w:tcPr>
          <w:p w:rsidRPr="00623AC1" w:rsidR="00623AC1" w:rsidP="00623AC1" w:rsidRDefault="00623AC1" w14:paraId="3002D804" w14:textId="77777777">
            <w:pPr>
              <w:rPr>
                <w:rFonts w:ascii="Arial" w:hAnsi="Arial" w:cs="Arial"/>
                <w:b/>
                <w:sz w:val="22"/>
                <w:szCs w:val="22"/>
              </w:rPr>
            </w:pPr>
            <w:r w:rsidRPr="00623AC1">
              <w:rPr>
                <w:rFonts w:ascii="Arial" w:hAnsi="Arial" w:cs="Arial"/>
                <w:b/>
                <w:sz w:val="22"/>
                <w:szCs w:val="22"/>
              </w:rPr>
              <w:t>Broadland</w:t>
            </w:r>
          </w:p>
        </w:tc>
        <w:tc>
          <w:tcPr>
            <w:tcW w:w="959" w:type="dxa"/>
            <w:noWrap/>
            <w:hideMark/>
          </w:tcPr>
          <w:p w:rsidRPr="00623AC1" w:rsidR="00623AC1" w:rsidP="00623AC1" w:rsidRDefault="00623AC1" w14:paraId="7825DB1B" w14:textId="77777777">
            <w:pPr>
              <w:rPr>
                <w:rFonts w:ascii="Arial" w:hAnsi="Arial" w:cs="Arial"/>
                <w:sz w:val="22"/>
                <w:szCs w:val="22"/>
              </w:rPr>
            </w:pPr>
            <w:r w:rsidRPr="00623AC1">
              <w:rPr>
                <w:rFonts w:ascii="Arial" w:hAnsi="Arial" w:cs="Arial"/>
                <w:sz w:val="22"/>
                <w:szCs w:val="22"/>
              </w:rPr>
              <w:t>98</w:t>
            </w:r>
          </w:p>
        </w:tc>
        <w:tc>
          <w:tcPr>
            <w:tcW w:w="850" w:type="dxa"/>
            <w:noWrap/>
            <w:hideMark/>
          </w:tcPr>
          <w:p w:rsidRPr="00623AC1" w:rsidR="00623AC1" w:rsidP="00623AC1" w:rsidRDefault="00623AC1" w14:paraId="5F5389DA" w14:textId="77777777">
            <w:pPr>
              <w:rPr>
                <w:rFonts w:ascii="Arial" w:hAnsi="Arial" w:cs="Arial"/>
                <w:sz w:val="22"/>
                <w:szCs w:val="22"/>
              </w:rPr>
            </w:pPr>
            <w:r w:rsidRPr="00623AC1">
              <w:rPr>
                <w:rFonts w:ascii="Arial" w:hAnsi="Arial" w:cs="Arial"/>
                <w:sz w:val="22"/>
                <w:szCs w:val="22"/>
              </w:rPr>
              <w:t>107</w:t>
            </w:r>
          </w:p>
        </w:tc>
        <w:tc>
          <w:tcPr>
            <w:tcW w:w="851" w:type="dxa"/>
            <w:noWrap/>
            <w:hideMark/>
          </w:tcPr>
          <w:p w:rsidRPr="00623AC1" w:rsidR="00623AC1" w:rsidP="00623AC1" w:rsidRDefault="00623AC1" w14:paraId="22DC5187" w14:textId="77777777">
            <w:pPr>
              <w:rPr>
                <w:rFonts w:ascii="Arial" w:hAnsi="Arial" w:cs="Arial"/>
                <w:sz w:val="22"/>
                <w:szCs w:val="22"/>
              </w:rPr>
            </w:pPr>
            <w:r w:rsidRPr="00623AC1">
              <w:rPr>
                <w:rFonts w:ascii="Arial" w:hAnsi="Arial" w:cs="Arial"/>
                <w:sz w:val="22"/>
                <w:szCs w:val="22"/>
              </w:rPr>
              <w:t>237</w:t>
            </w:r>
          </w:p>
        </w:tc>
        <w:tc>
          <w:tcPr>
            <w:tcW w:w="850" w:type="dxa"/>
            <w:noWrap/>
            <w:hideMark/>
          </w:tcPr>
          <w:p w:rsidRPr="00623AC1" w:rsidR="00623AC1" w:rsidP="00623AC1" w:rsidRDefault="00623AC1" w14:paraId="79308001" w14:textId="77777777">
            <w:pPr>
              <w:rPr>
                <w:rFonts w:ascii="Arial" w:hAnsi="Arial" w:cs="Arial"/>
                <w:sz w:val="22"/>
                <w:szCs w:val="22"/>
              </w:rPr>
            </w:pPr>
            <w:r w:rsidRPr="00623AC1">
              <w:rPr>
                <w:rFonts w:ascii="Arial" w:hAnsi="Arial" w:cs="Arial"/>
                <w:sz w:val="22"/>
                <w:szCs w:val="22"/>
              </w:rPr>
              <w:t>177</w:t>
            </w:r>
          </w:p>
        </w:tc>
        <w:tc>
          <w:tcPr>
            <w:tcW w:w="895" w:type="dxa"/>
            <w:noWrap/>
            <w:hideMark/>
          </w:tcPr>
          <w:p w:rsidRPr="00623AC1" w:rsidR="00623AC1" w:rsidP="00623AC1" w:rsidRDefault="00623AC1" w14:paraId="54ABB001" w14:textId="77777777">
            <w:pPr>
              <w:rPr>
                <w:rFonts w:ascii="Arial" w:hAnsi="Arial" w:cs="Arial"/>
                <w:sz w:val="22"/>
                <w:szCs w:val="22"/>
              </w:rPr>
            </w:pPr>
            <w:r w:rsidRPr="00623AC1">
              <w:rPr>
                <w:rFonts w:ascii="Arial" w:hAnsi="Arial" w:cs="Arial"/>
                <w:sz w:val="22"/>
                <w:szCs w:val="22"/>
              </w:rPr>
              <w:t>195</w:t>
            </w:r>
          </w:p>
        </w:tc>
      </w:tr>
      <w:tr w:rsidRPr="00623AC1" w:rsidR="00623AC1" w:rsidTr="00285F45" w14:paraId="00C0EAEB" w14:textId="77777777">
        <w:trPr>
          <w:cantSplit/>
          <w:trHeight w:val="300"/>
          <w:tblHeader/>
        </w:trPr>
        <w:tc>
          <w:tcPr>
            <w:tcW w:w="1693" w:type="dxa"/>
            <w:vMerge/>
            <w:hideMark/>
          </w:tcPr>
          <w:p w:rsidRPr="00623AC1" w:rsidR="00623AC1" w:rsidP="00623AC1" w:rsidRDefault="00623AC1" w14:paraId="6C6D5FD0" w14:textId="77777777">
            <w:pPr>
              <w:rPr>
                <w:rFonts w:ascii="Arial" w:hAnsi="Arial" w:cs="Arial"/>
                <w:b/>
                <w:bCs/>
                <w:sz w:val="22"/>
                <w:szCs w:val="22"/>
              </w:rPr>
            </w:pPr>
          </w:p>
        </w:tc>
        <w:tc>
          <w:tcPr>
            <w:tcW w:w="2384" w:type="dxa"/>
            <w:vMerge/>
            <w:hideMark/>
          </w:tcPr>
          <w:p w:rsidRPr="00623AC1" w:rsidR="00623AC1" w:rsidP="00623AC1" w:rsidRDefault="00623AC1" w14:paraId="3B01A7DF" w14:textId="77777777">
            <w:pPr>
              <w:rPr>
                <w:rFonts w:ascii="Arial" w:hAnsi="Arial" w:cs="Arial"/>
                <w:b/>
                <w:sz w:val="22"/>
                <w:szCs w:val="22"/>
              </w:rPr>
            </w:pPr>
          </w:p>
        </w:tc>
        <w:tc>
          <w:tcPr>
            <w:tcW w:w="1985" w:type="dxa"/>
            <w:noWrap/>
            <w:hideMark/>
          </w:tcPr>
          <w:p w:rsidRPr="00623AC1" w:rsidR="00623AC1" w:rsidP="00623AC1" w:rsidRDefault="00623AC1" w14:paraId="4991F2D9" w14:textId="77777777">
            <w:pPr>
              <w:rPr>
                <w:rFonts w:ascii="Arial" w:hAnsi="Arial" w:cs="Arial"/>
                <w:b/>
                <w:sz w:val="22"/>
                <w:szCs w:val="22"/>
              </w:rPr>
            </w:pPr>
            <w:r w:rsidRPr="00623AC1">
              <w:rPr>
                <w:rFonts w:ascii="Arial" w:hAnsi="Arial" w:cs="Arial"/>
                <w:b/>
                <w:sz w:val="22"/>
                <w:szCs w:val="22"/>
              </w:rPr>
              <w:t>Norwich</w:t>
            </w:r>
          </w:p>
        </w:tc>
        <w:tc>
          <w:tcPr>
            <w:tcW w:w="959" w:type="dxa"/>
            <w:noWrap/>
            <w:hideMark/>
          </w:tcPr>
          <w:p w:rsidRPr="00623AC1" w:rsidR="00623AC1" w:rsidP="00623AC1" w:rsidRDefault="00623AC1" w14:paraId="7F1E4AB1" w14:textId="77777777">
            <w:pPr>
              <w:rPr>
                <w:rFonts w:ascii="Arial" w:hAnsi="Arial" w:cs="Arial"/>
                <w:sz w:val="22"/>
                <w:szCs w:val="22"/>
              </w:rPr>
            </w:pPr>
            <w:r w:rsidRPr="00623AC1">
              <w:rPr>
                <w:rFonts w:ascii="Arial" w:hAnsi="Arial" w:cs="Arial"/>
                <w:sz w:val="22"/>
                <w:szCs w:val="22"/>
              </w:rPr>
              <w:t>50</w:t>
            </w:r>
          </w:p>
        </w:tc>
        <w:tc>
          <w:tcPr>
            <w:tcW w:w="850" w:type="dxa"/>
            <w:noWrap/>
            <w:hideMark/>
          </w:tcPr>
          <w:p w:rsidRPr="00623AC1" w:rsidR="00623AC1" w:rsidP="00623AC1" w:rsidRDefault="00623AC1" w14:paraId="48245CAA" w14:textId="77777777">
            <w:pPr>
              <w:rPr>
                <w:rFonts w:ascii="Arial" w:hAnsi="Arial" w:cs="Arial"/>
                <w:sz w:val="22"/>
                <w:szCs w:val="22"/>
              </w:rPr>
            </w:pPr>
            <w:r w:rsidRPr="00623AC1">
              <w:rPr>
                <w:rFonts w:ascii="Arial" w:hAnsi="Arial" w:cs="Arial"/>
                <w:sz w:val="22"/>
                <w:szCs w:val="22"/>
              </w:rPr>
              <w:t>25</w:t>
            </w:r>
          </w:p>
        </w:tc>
        <w:tc>
          <w:tcPr>
            <w:tcW w:w="851" w:type="dxa"/>
            <w:noWrap/>
            <w:hideMark/>
          </w:tcPr>
          <w:p w:rsidRPr="00623AC1" w:rsidR="00623AC1" w:rsidP="00623AC1" w:rsidRDefault="00623AC1" w14:paraId="3603C30B" w14:textId="77777777">
            <w:pPr>
              <w:rPr>
                <w:rFonts w:ascii="Arial" w:hAnsi="Arial" w:cs="Arial"/>
                <w:sz w:val="22"/>
                <w:szCs w:val="22"/>
              </w:rPr>
            </w:pPr>
            <w:r w:rsidRPr="00623AC1">
              <w:rPr>
                <w:rFonts w:ascii="Arial" w:hAnsi="Arial" w:cs="Arial"/>
                <w:sz w:val="22"/>
                <w:szCs w:val="22"/>
              </w:rPr>
              <w:t>44</w:t>
            </w:r>
          </w:p>
        </w:tc>
        <w:tc>
          <w:tcPr>
            <w:tcW w:w="850" w:type="dxa"/>
            <w:noWrap/>
            <w:hideMark/>
          </w:tcPr>
          <w:p w:rsidRPr="00623AC1" w:rsidR="00623AC1" w:rsidP="00623AC1" w:rsidRDefault="00623AC1" w14:paraId="495E5C4E" w14:textId="77777777">
            <w:pPr>
              <w:rPr>
                <w:rFonts w:ascii="Arial" w:hAnsi="Arial" w:cs="Arial"/>
                <w:sz w:val="22"/>
                <w:szCs w:val="22"/>
              </w:rPr>
            </w:pPr>
            <w:r w:rsidRPr="00623AC1">
              <w:rPr>
                <w:rFonts w:ascii="Arial" w:hAnsi="Arial" w:cs="Arial"/>
                <w:sz w:val="22"/>
                <w:szCs w:val="22"/>
              </w:rPr>
              <w:t>56</w:t>
            </w:r>
          </w:p>
        </w:tc>
        <w:tc>
          <w:tcPr>
            <w:tcW w:w="895" w:type="dxa"/>
            <w:noWrap/>
            <w:hideMark/>
          </w:tcPr>
          <w:p w:rsidRPr="00623AC1" w:rsidR="00623AC1" w:rsidP="00623AC1" w:rsidRDefault="00623AC1" w14:paraId="4407F7F9" w14:textId="77777777">
            <w:pPr>
              <w:rPr>
                <w:rFonts w:ascii="Arial" w:hAnsi="Arial" w:cs="Arial"/>
                <w:sz w:val="22"/>
                <w:szCs w:val="22"/>
              </w:rPr>
            </w:pPr>
            <w:r w:rsidRPr="00623AC1">
              <w:rPr>
                <w:rFonts w:ascii="Arial" w:hAnsi="Arial" w:cs="Arial"/>
                <w:sz w:val="22"/>
                <w:szCs w:val="22"/>
              </w:rPr>
              <w:t>137</w:t>
            </w:r>
          </w:p>
        </w:tc>
      </w:tr>
      <w:tr w:rsidRPr="00623AC1" w:rsidR="00623AC1" w:rsidTr="00285F45" w14:paraId="3E721991" w14:textId="77777777">
        <w:trPr>
          <w:cantSplit/>
          <w:trHeight w:val="315"/>
          <w:tblHeader/>
        </w:trPr>
        <w:tc>
          <w:tcPr>
            <w:tcW w:w="1693" w:type="dxa"/>
            <w:vMerge/>
            <w:hideMark/>
          </w:tcPr>
          <w:p w:rsidRPr="00623AC1" w:rsidR="00623AC1" w:rsidP="00623AC1" w:rsidRDefault="00623AC1" w14:paraId="0400FC96" w14:textId="77777777">
            <w:pPr>
              <w:rPr>
                <w:rFonts w:ascii="Arial" w:hAnsi="Arial" w:cs="Arial"/>
                <w:b/>
                <w:bCs/>
                <w:sz w:val="22"/>
                <w:szCs w:val="22"/>
              </w:rPr>
            </w:pPr>
          </w:p>
        </w:tc>
        <w:tc>
          <w:tcPr>
            <w:tcW w:w="2384" w:type="dxa"/>
            <w:vMerge/>
            <w:hideMark/>
          </w:tcPr>
          <w:p w:rsidRPr="00623AC1" w:rsidR="00623AC1" w:rsidP="00623AC1" w:rsidRDefault="00623AC1" w14:paraId="34E6B759" w14:textId="77777777">
            <w:pPr>
              <w:rPr>
                <w:rFonts w:ascii="Arial" w:hAnsi="Arial" w:cs="Arial"/>
                <w:b/>
                <w:sz w:val="22"/>
                <w:szCs w:val="22"/>
              </w:rPr>
            </w:pPr>
          </w:p>
        </w:tc>
        <w:tc>
          <w:tcPr>
            <w:tcW w:w="1985" w:type="dxa"/>
            <w:noWrap/>
            <w:hideMark/>
          </w:tcPr>
          <w:p w:rsidRPr="00623AC1" w:rsidR="00623AC1" w:rsidP="00623AC1" w:rsidRDefault="00623AC1" w14:paraId="1214A0CB" w14:textId="77777777">
            <w:pPr>
              <w:rPr>
                <w:rFonts w:ascii="Arial" w:hAnsi="Arial" w:cs="Arial"/>
                <w:b/>
                <w:sz w:val="22"/>
                <w:szCs w:val="22"/>
              </w:rPr>
            </w:pPr>
            <w:r w:rsidRPr="00623AC1">
              <w:rPr>
                <w:rFonts w:ascii="Arial" w:hAnsi="Arial" w:cs="Arial"/>
                <w:b/>
                <w:sz w:val="22"/>
                <w:szCs w:val="22"/>
              </w:rPr>
              <w:t>South Norfolk</w:t>
            </w:r>
          </w:p>
        </w:tc>
        <w:tc>
          <w:tcPr>
            <w:tcW w:w="959" w:type="dxa"/>
            <w:noWrap/>
            <w:hideMark/>
          </w:tcPr>
          <w:p w:rsidRPr="00623AC1" w:rsidR="00623AC1" w:rsidP="00623AC1" w:rsidRDefault="00623AC1" w14:paraId="3C693C90" w14:textId="77777777">
            <w:pPr>
              <w:rPr>
                <w:rFonts w:ascii="Arial" w:hAnsi="Arial" w:cs="Arial"/>
                <w:sz w:val="22"/>
                <w:szCs w:val="22"/>
              </w:rPr>
            </w:pPr>
            <w:r w:rsidRPr="00623AC1">
              <w:rPr>
                <w:rFonts w:ascii="Arial" w:hAnsi="Arial" w:cs="Arial"/>
                <w:sz w:val="22"/>
                <w:szCs w:val="22"/>
              </w:rPr>
              <w:t>95</w:t>
            </w:r>
          </w:p>
        </w:tc>
        <w:tc>
          <w:tcPr>
            <w:tcW w:w="850" w:type="dxa"/>
            <w:noWrap/>
            <w:hideMark/>
          </w:tcPr>
          <w:p w:rsidRPr="00623AC1" w:rsidR="00623AC1" w:rsidP="00623AC1" w:rsidRDefault="00623AC1" w14:paraId="2C4533F9" w14:textId="77777777">
            <w:pPr>
              <w:rPr>
                <w:rFonts w:ascii="Arial" w:hAnsi="Arial" w:cs="Arial"/>
                <w:sz w:val="22"/>
                <w:szCs w:val="22"/>
              </w:rPr>
            </w:pPr>
            <w:r w:rsidRPr="00623AC1">
              <w:rPr>
                <w:rFonts w:ascii="Arial" w:hAnsi="Arial" w:cs="Arial"/>
                <w:sz w:val="22"/>
                <w:szCs w:val="22"/>
              </w:rPr>
              <w:t>90</w:t>
            </w:r>
          </w:p>
        </w:tc>
        <w:tc>
          <w:tcPr>
            <w:tcW w:w="851" w:type="dxa"/>
            <w:noWrap/>
            <w:hideMark/>
          </w:tcPr>
          <w:p w:rsidRPr="00623AC1" w:rsidR="00623AC1" w:rsidP="00623AC1" w:rsidRDefault="00623AC1" w14:paraId="75E7968B" w14:textId="77777777">
            <w:pPr>
              <w:rPr>
                <w:rFonts w:ascii="Arial" w:hAnsi="Arial" w:cs="Arial"/>
                <w:sz w:val="22"/>
                <w:szCs w:val="22"/>
              </w:rPr>
            </w:pPr>
            <w:r w:rsidRPr="00623AC1">
              <w:rPr>
                <w:rFonts w:ascii="Arial" w:hAnsi="Arial" w:cs="Arial"/>
                <w:sz w:val="22"/>
                <w:szCs w:val="22"/>
              </w:rPr>
              <w:t>175</w:t>
            </w:r>
          </w:p>
        </w:tc>
        <w:tc>
          <w:tcPr>
            <w:tcW w:w="850" w:type="dxa"/>
            <w:noWrap/>
            <w:hideMark/>
          </w:tcPr>
          <w:p w:rsidRPr="00623AC1" w:rsidR="00623AC1" w:rsidP="00623AC1" w:rsidRDefault="00623AC1" w14:paraId="50875073" w14:textId="77777777">
            <w:pPr>
              <w:rPr>
                <w:rFonts w:ascii="Arial" w:hAnsi="Arial" w:cs="Arial"/>
                <w:sz w:val="22"/>
                <w:szCs w:val="22"/>
              </w:rPr>
            </w:pPr>
            <w:r w:rsidRPr="00623AC1">
              <w:rPr>
                <w:rFonts w:ascii="Arial" w:hAnsi="Arial" w:cs="Arial"/>
                <w:sz w:val="22"/>
                <w:szCs w:val="22"/>
              </w:rPr>
              <w:t>298</w:t>
            </w:r>
          </w:p>
        </w:tc>
        <w:tc>
          <w:tcPr>
            <w:tcW w:w="895" w:type="dxa"/>
            <w:noWrap/>
            <w:hideMark/>
          </w:tcPr>
          <w:p w:rsidRPr="00623AC1" w:rsidR="00623AC1" w:rsidP="00623AC1" w:rsidRDefault="00623AC1" w14:paraId="722632A7" w14:textId="77777777">
            <w:pPr>
              <w:rPr>
                <w:rFonts w:ascii="Arial" w:hAnsi="Arial" w:cs="Arial"/>
                <w:sz w:val="22"/>
                <w:szCs w:val="22"/>
              </w:rPr>
            </w:pPr>
            <w:r w:rsidRPr="00623AC1">
              <w:rPr>
                <w:rFonts w:ascii="Arial" w:hAnsi="Arial" w:cs="Arial"/>
                <w:sz w:val="22"/>
                <w:szCs w:val="22"/>
              </w:rPr>
              <w:t>392</w:t>
            </w:r>
          </w:p>
        </w:tc>
      </w:tr>
      <w:tr w:rsidRPr="00623AC1" w:rsidR="00623AC1" w:rsidTr="00285F45" w14:paraId="4246EBCE" w14:textId="77777777">
        <w:trPr>
          <w:cantSplit/>
          <w:trHeight w:val="315"/>
          <w:tblHeader/>
        </w:trPr>
        <w:tc>
          <w:tcPr>
            <w:tcW w:w="1693" w:type="dxa"/>
            <w:vMerge/>
            <w:hideMark/>
          </w:tcPr>
          <w:p w:rsidRPr="00623AC1" w:rsidR="00623AC1" w:rsidP="00623AC1" w:rsidRDefault="00623AC1" w14:paraId="3A4BB4E8" w14:textId="77777777">
            <w:pPr>
              <w:rPr>
                <w:rFonts w:ascii="Arial" w:hAnsi="Arial" w:cs="Arial"/>
                <w:b/>
                <w:bCs/>
                <w:sz w:val="22"/>
                <w:szCs w:val="22"/>
              </w:rPr>
            </w:pPr>
          </w:p>
        </w:tc>
        <w:tc>
          <w:tcPr>
            <w:tcW w:w="2384" w:type="dxa"/>
            <w:vMerge/>
            <w:hideMark/>
          </w:tcPr>
          <w:p w:rsidRPr="00623AC1" w:rsidR="00623AC1" w:rsidP="00623AC1" w:rsidRDefault="00623AC1" w14:paraId="0567EAF9" w14:textId="77777777">
            <w:pPr>
              <w:rPr>
                <w:rFonts w:ascii="Arial" w:hAnsi="Arial" w:cs="Arial"/>
                <w:b/>
                <w:sz w:val="22"/>
                <w:szCs w:val="22"/>
              </w:rPr>
            </w:pPr>
          </w:p>
        </w:tc>
        <w:tc>
          <w:tcPr>
            <w:tcW w:w="1985" w:type="dxa"/>
            <w:noWrap/>
            <w:hideMark/>
          </w:tcPr>
          <w:p w:rsidRPr="00623AC1" w:rsidR="00623AC1" w:rsidP="00623AC1" w:rsidRDefault="00623AC1" w14:paraId="7EADF8E4" w14:textId="77777777">
            <w:pPr>
              <w:rPr>
                <w:rFonts w:ascii="Arial" w:hAnsi="Arial" w:cs="Arial"/>
                <w:b/>
                <w:bCs/>
                <w:sz w:val="22"/>
                <w:szCs w:val="22"/>
              </w:rPr>
            </w:pPr>
            <w:r w:rsidRPr="00623AC1">
              <w:rPr>
                <w:rFonts w:ascii="Arial" w:hAnsi="Arial" w:cs="Arial"/>
                <w:b/>
                <w:bCs/>
                <w:sz w:val="22"/>
                <w:szCs w:val="22"/>
              </w:rPr>
              <w:t>Greater Norwich</w:t>
            </w:r>
          </w:p>
        </w:tc>
        <w:tc>
          <w:tcPr>
            <w:tcW w:w="959" w:type="dxa"/>
            <w:noWrap/>
            <w:hideMark/>
          </w:tcPr>
          <w:p w:rsidRPr="00623AC1" w:rsidR="00623AC1" w:rsidP="00623AC1" w:rsidRDefault="00623AC1" w14:paraId="733249FF" w14:textId="77777777">
            <w:pPr>
              <w:rPr>
                <w:rFonts w:ascii="Arial" w:hAnsi="Arial" w:cs="Arial"/>
                <w:b/>
                <w:bCs/>
                <w:sz w:val="22"/>
                <w:szCs w:val="22"/>
              </w:rPr>
            </w:pPr>
            <w:r w:rsidRPr="00623AC1">
              <w:rPr>
                <w:rFonts w:ascii="Arial" w:hAnsi="Arial" w:cs="Arial"/>
                <w:b/>
                <w:bCs/>
                <w:sz w:val="22"/>
                <w:szCs w:val="22"/>
              </w:rPr>
              <w:t>243</w:t>
            </w:r>
          </w:p>
        </w:tc>
        <w:tc>
          <w:tcPr>
            <w:tcW w:w="850" w:type="dxa"/>
            <w:noWrap/>
            <w:hideMark/>
          </w:tcPr>
          <w:p w:rsidRPr="00623AC1" w:rsidR="00623AC1" w:rsidP="00623AC1" w:rsidRDefault="00623AC1" w14:paraId="6B4DAF8C" w14:textId="77777777">
            <w:pPr>
              <w:rPr>
                <w:rFonts w:ascii="Arial" w:hAnsi="Arial" w:cs="Arial"/>
                <w:b/>
                <w:bCs/>
                <w:sz w:val="22"/>
                <w:szCs w:val="22"/>
              </w:rPr>
            </w:pPr>
            <w:r w:rsidRPr="00623AC1">
              <w:rPr>
                <w:rFonts w:ascii="Arial" w:hAnsi="Arial" w:cs="Arial"/>
                <w:b/>
                <w:bCs/>
                <w:sz w:val="22"/>
                <w:szCs w:val="22"/>
              </w:rPr>
              <w:t>222</w:t>
            </w:r>
          </w:p>
        </w:tc>
        <w:tc>
          <w:tcPr>
            <w:tcW w:w="851" w:type="dxa"/>
            <w:noWrap/>
            <w:hideMark/>
          </w:tcPr>
          <w:p w:rsidRPr="00623AC1" w:rsidR="00623AC1" w:rsidP="00623AC1" w:rsidRDefault="00623AC1" w14:paraId="1E548E10" w14:textId="77777777">
            <w:pPr>
              <w:rPr>
                <w:rFonts w:ascii="Arial" w:hAnsi="Arial" w:cs="Arial"/>
                <w:b/>
                <w:bCs/>
                <w:sz w:val="22"/>
                <w:szCs w:val="22"/>
              </w:rPr>
            </w:pPr>
            <w:r w:rsidRPr="00623AC1">
              <w:rPr>
                <w:rFonts w:ascii="Arial" w:hAnsi="Arial" w:cs="Arial"/>
                <w:b/>
                <w:bCs/>
                <w:sz w:val="22"/>
                <w:szCs w:val="22"/>
              </w:rPr>
              <w:t>456</w:t>
            </w:r>
          </w:p>
        </w:tc>
        <w:tc>
          <w:tcPr>
            <w:tcW w:w="850" w:type="dxa"/>
            <w:noWrap/>
            <w:hideMark/>
          </w:tcPr>
          <w:p w:rsidRPr="00623AC1" w:rsidR="00623AC1" w:rsidP="00623AC1" w:rsidRDefault="00623AC1" w14:paraId="2CDACD90" w14:textId="77777777">
            <w:pPr>
              <w:rPr>
                <w:rFonts w:ascii="Arial" w:hAnsi="Arial" w:cs="Arial"/>
                <w:b/>
                <w:bCs/>
                <w:sz w:val="22"/>
                <w:szCs w:val="22"/>
              </w:rPr>
            </w:pPr>
            <w:r w:rsidRPr="00623AC1">
              <w:rPr>
                <w:rFonts w:ascii="Arial" w:hAnsi="Arial" w:cs="Arial"/>
                <w:b/>
                <w:bCs/>
                <w:sz w:val="22"/>
                <w:szCs w:val="22"/>
              </w:rPr>
              <w:t>531</w:t>
            </w:r>
          </w:p>
        </w:tc>
        <w:tc>
          <w:tcPr>
            <w:tcW w:w="895" w:type="dxa"/>
            <w:noWrap/>
            <w:hideMark/>
          </w:tcPr>
          <w:p w:rsidRPr="00623AC1" w:rsidR="00623AC1" w:rsidP="00623AC1" w:rsidRDefault="00623AC1" w14:paraId="610CC74E" w14:textId="77777777">
            <w:pPr>
              <w:rPr>
                <w:rFonts w:ascii="Arial" w:hAnsi="Arial" w:cs="Arial"/>
                <w:b/>
                <w:bCs/>
                <w:sz w:val="22"/>
                <w:szCs w:val="22"/>
              </w:rPr>
            </w:pPr>
            <w:r w:rsidRPr="00623AC1">
              <w:rPr>
                <w:rFonts w:ascii="Arial" w:hAnsi="Arial" w:cs="Arial"/>
                <w:b/>
                <w:bCs/>
                <w:sz w:val="22"/>
                <w:szCs w:val="22"/>
              </w:rPr>
              <w:t>724</w:t>
            </w:r>
          </w:p>
        </w:tc>
      </w:tr>
    </w:tbl>
    <w:p w:rsidRPr="00623AC1" w:rsidR="00623AC1" w:rsidP="00623AC1" w:rsidRDefault="00FD7BA7" w14:paraId="35D109F7" w14:textId="77777777">
      <w:pPr>
        <w:rPr>
          <w:rFonts w:ascii="Arial" w:hAnsi="Arial" w:cs="Arial"/>
          <w:sz w:val="16"/>
          <w:szCs w:val="16"/>
        </w:rPr>
      </w:pPr>
      <w:r>
        <w:rPr>
          <w:rFonts w:ascii="Arial" w:hAnsi="Arial" w:cs="Arial"/>
          <w:sz w:val="16"/>
          <w:szCs w:val="16"/>
        </w:rPr>
        <w:t xml:space="preserve">Table 6: </w:t>
      </w:r>
      <w:r w:rsidRPr="00623AC1" w:rsidR="00623AC1">
        <w:rPr>
          <w:rFonts w:ascii="Arial" w:hAnsi="Arial" w:cs="Arial"/>
          <w:sz w:val="16"/>
          <w:szCs w:val="16"/>
        </w:rPr>
        <w:t>Source</w:t>
      </w:r>
      <w:r>
        <w:rPr>
          <w:rFonts w:ascii="Arial" w:hAnsi="Arial" w:cs="Arial"/>
          <w:sz w:val="16"/>
          <w:szCs w:val="16"/>
        </w:rPr>
        <w:t>:</w:t>
      </w:r>
      <w:r w:rsidRPr="00623AC1" w:rsidR="00623AC1">
        <w:rPr>
          <w:rFonts w:ascii="Arial" w:hAnsi="Arial" w:cs="Arial"/>
          <w:sz w:val="16"/>
          <w:szCs w:val="16"/>
        </w:rPr>
        <w:t xml:space="preserve"> GNDP AMR 2018/19</w:t>
      </w:r>
    </w:p>
    <w:p w:rsidRPr="00623AC1" w:rsidR="00623AC1" w:rsidP="00623AC1" w:rsidRDefault="00623AC1" w14:paraId="2F781130" w14:textId="77777777">
      <w:pPr>
        <w:rPr>
          <w:rFonts w:ascii="Arial" w:hAnsi="Arial" w:cs="Arial"/>
          <w:b/>
        </w:rPr>
      </w:pPr>
    </w:p>
    <w:p w:rsidRPr="00623AC1" w:rsidR="00623AC1" w:rsidP="00623AC1" w:rsidRDefault="00623AC1" w14:paraId="2C382AB7" w14:textId="77777777">
      <w:pPr>
        <w:rPr>
          <w:rFonts w:ascii="Arial" w:hAnsi="Arial" w:cs="Arial"/>
        </w:rPr>
      </w:pPr>
      <w:r w:rsidRPr="00623AC1">
        <w:rPr>
          <w:rFonts w:ascii="Arial" w:hAnsi="Arial" w:cs="Arial"/>
        </w:rPr>
        <w:t xml:space="preserve">This table shows that in 2018/19 affordable housing completions have exceeded the current target of </w:t>
      </w:r>
      <w:r w:rsidRPr="005E547A" w:rsidR="005E547A">
        <w:rPr>
          <w:rFonts w:ascii="Arial" w:hAnsi="Arial" w:cs="Arial"/>
        </w:rPr>
        <w:t>525</w:t>
      </w:r>
      <w:r w:rsidRPr="00623AC1">
        <w:rPr>
          <w:rFonts w:ascii="Arial" w:hAnsi="Arial" w:cs="Arial"/>
        </w:rPr>
        <w:t xml:space="preserve"> completions per year. This marks the highest level of delivery in the last 7 years and is the first time the annual target has been achieved. This level of delivery is clearly linked to the significant increase in overall housing delivery across the Greater Norwich area. </w:t>
      </w:r>
    </w:p>
    <w:p w:rsidRPr="00623AC1" w:rsidR="00623AC1" w:rsidP="00623AC1" w:rsidRDefault="00623AC1" w14:paraId="01CB84E0" w14:textId="77777777">
      <w:pPr>
        <w:autoSpaceDE w:val="0"/>
        <w:autoSpaceDN w:val="0"/>
        <w:adjustRightInd w:val="0"/>
        <w:rPr>
          <w:rFonts w:ascii="Arial" w:hAnsi="Arial" w:cs="Arial"/>
        </w:rPr>
      </w:pPr>
    </w:p>
    <w:p w:rsidRPr="00623AC1" w:rsidR="00623AC1" w:rsidP="00623AC1" w:rsidRDefault="00623AC1" w14:paraId="77B54968" w14:textId="77777777">
      <w:pPr>
        <w:autoSpaceDE w:val="0"/>
        <w:autoSpaceDN w:val="0"/>
        <w:adjustRightInd w:val="0"/>
        <w:rPr>
          <w:rFonts w:ascii="Arial" w:hAnsi="Arial" w:cs="Arial"/>
        </w:rPr>
      </w:pPr>
      <w:r w:rsidRPr="00623AC1">
        <w:rPr>
          <w:rFonts w:ascii="Arial" w:hAnsi="Arial" w:cs="Arial"/>
        </w:rPr>
        <w:t>Continuing to meet the delivery target for affordable homes will remain a challenge howe</w:t>
      </w:r>
      <w:r w:rsidR="00C66F57">
        <w:rPr>
          <w:rFonts w:ascii="Arial" w:hAnsi="Arial" w:cs="Arial"/>
        </w:rPr>
        <w:t>ver. C</w:t>
      </w:r>
      <w:r w:rsidRPr="00623AC1">
        <w:rPr>
          <w:rFonts w:ascii="Arial" w:hAnsi="Arial" w:cs="Arial"/>
        </w:rPr>
        <w:t>hanges</w:t>
      </w:r>
      <w:r w:rsidR="00EC0CDF">
        <w:rPr>
          <w:rFonts w:ascii="Arial" w:hAnsi="Arial" w:cs="Arial"/>
        </w:rPr>
        <w:t xml:space="preserve"> </w:t>
      </w:r>
      <w:r w:rsidR="00C66F57">
        <w:rPr>
          <w:rFonts w:ascii="Arial" w:hAnsi="Arial" w:cs="Arial"/>
        </w:rPr>
        <w:t>to the planning system</w:t>
      </w:r>
      <w:r w:rsidRPr="00623AC1">
        <w:rPr>
          <w:rFonts w:ascii="Arial" w:hAnsi="Arial" w:cs="Arial"/>
        </w:rPr>
        <w:t xml:space="preserve"> mean that affordable housing cannot be required in certain circumstances e.g. due to the vacant building credit or the prior approval of office conversions (measures which have a particularly significant impact in Norwich</w:t>
      </w:r>
      <w:r w:rsidR="00EC0CDF">
        <w:rPr>
          <w:rFonts w:ascii="Arial" w:hAnsi="Arial" w:cs="Arial"/>
        </w:rPr>
        <w:t xml:space="preserve"> </w:t>
      </w:r>
      <w:r w:rsidRPr="00623AC1">
        <w:rPr>
          <w:rFonts w:ascii="Arial" w:hAnsi="Arial" w:cs="Arial"/>
        </w:rPr>
        <w:t xml:space="preserve">City). </w:t>
      </w:r>
    </w:p>
    <w:p w:rsidRPr="00623AC1" w:rsidR="00623AC1" w:rsidP="00623AC1" w:rsidRDefault="00623AC1" w14:paraId="00CE184B" w14:textId="77777777">
      <w:pPr>
        <w:autoSpaceDE w:val="0"/>
        <w:autoSpaceDN w:val="0"/>
        <w:adjustRightInd w:val="0"/>
        <w:rPr>
          <w:rFonts w:ascii="Arial" w:hAnsi="Arial" w:cs="Arial"/>
        </w:rPr>
      </w:pPr>
    </w:p>
    <w:p w:rsidR="00623AC1" w:rsidP="00623AC1" w:rsidRDefault="00623AC1" w14:paraId="7D86A2E0" w14:textId="77777777">
      <w:pPr>
        <w:autoSpaceDE w:val="0"/>
        <w:autoSpaceDN w:val="0"/>
        <w:adjustRightInd w:val="0"/>
        <w:rPr>
          <w:rFonts w:ascii="Arial" w:hAnsi="Arial" w:cs="Arial"/>
        </w:rPr>
      </w:pPr>
      <w:r w:rsidRPr="00623AC1">
        <w:rPr>
          <w:rFonts w:ascii="Arial" w:hAnsi="Arial" w:cs="Arial"/>
        </w:rPr>
        <w:t>Another challenge to the delivery of affordable housing is that it has proved necessary to reduce the level of affordable housing secured on some sit</w:t>
      </w:r>
      <w:r w:rsidR="00A17981">
        <w:rPr>
          <w:rFonts w:ascii="Arial" w:hAnsi="Arial" w:cs="Arial"/>
        </w:rPr>
        <w:t>es to ensure that developments are</w:t>
      </w:r>
      <w:r w:rsidRPr="00623AC1">
        <w:rPr>
          <w:rFonts w:ascii="Arial" w:hAnsi="Arial" w:cs="Arial"/>
        </w:rPr>
        <w:t xml:space="preserve"> viable. The authorities continue to scrutinise viability assessments submitted by developers to ensure that development meets the</w:t>
      </w:r>
      <w:r w:rsidR="00EC0CDF">
        <w:rPr>
          <w:rFonts w:ascii="Arial" w:hAnsi="Arial" w:cs="Arial"/>
        </w:rPr>
        <w:t xml:space="preserve"> </w:t>
      </w:r>
      <w:r w:rsidRPr="00623AC1">
        <w:rPr>
          <w:rFonts w:ascii="Arial" w:hAnsi="Arial" w:cs="Arial"/>
        </w:rPr>
        <w:t xml:space="preserve">affordable housing target as far as possible. In addition, a number of section 106 agreements that accompany development include a “claw back” </w:t>
      </w:r>
      <w:r w:rsidRPr="00623AC1" w:rsidR="00EC0CDF">
        <w:rPr>
          <w:rFonts w:ascii="Arial" w:hAnsi="Arial" w:cs="Arial"/>
        </w:rPr>
        <w:t>provision, which</w:t>
      </w:r>
      <w:r w:rsidRPr="00623AC1">
        <w:rPr>
          <w:rFonts w:ascii="Arial" w:hAnsi="Arial" w:cs="Arial"/>
        </w:rPr>
        <w:t xml:space="preserve"> may mean that additional affordable housing will be delivered </w:t>
      </w:r>
      <w:r w:rsidRPr="00623AC1" w:rsidR="00EC0CDF">
        <w:rPr>
          <w:rFonts w:ascii="Arial" w:hAnsi="Arial" w:cs="Arial"/>
        </w:rPr>
        <w:t>later</w:t>
      </w:r>
      <w:r w:rsidRPr="005E547A" w:rsidR="00FD7BA7">
        <w:rPr>
          <w:rFonts w:ascii="Arial" w:hAnsi="Arial" w:cs="Arial"/>
        </w:rPr>
        <w:t>, via a commuted</w:t>
      </w:r>
      <w:r w:rsidR="00B87BD0">
        <w:rPr>
          <w:rFonts w:ascii="Arial" w:hAnsi="Arial" w:cs="Arial"/>
        </w:rPr>
        <w:t xml:space="preserve"> sum</w:t>
      </w:r>
      <w:r w:rsidR="00F335A8">
        <w:rPr>
          <w:rFonts w:ascii="Arial" w:hAnsi="Arial" w:cs="Arial"/>
        </w:rPr>
        <w:t>,</w:t>
      </w:r>
      <w:r w:rsidRPr="005E547A">
        <w:rPr>
          <w:rFonts w:ascii="Arial" w:hAnsi="Arial" w:cs="Arial"/>
        </w:rPr>
        <w:t xml:space="preserve"> if</w:t>
      </w:r>
      <w:r w:rsidRPr="00623AC1">
        <w:rPr>
          <w:rFonts w:ascii="Arial" w:hAnsi="Arial" w:cs="Arial"/>
        </w:rPr>
        <w:t xml:space="preserve"> viability improves.</w:t>
      </w:r>
    </w:p>
    <w:p w:rsidR="00FE68CF" w:rsidP="00FD7BA7" w:rsidRDefault="00FE68CF" w14:paraId="31235CF8" w14:textId="77777777">
      <w:pPr>
        <w:autoSpaceDE w:val="0"/>
        <w:autoSpaceDN w:val="0"/>
        <w:adjustRightInd w:val="0"/>
        <w:rPr>
          <w:rFonts w:ascii="Arial" w:hAnsi="Arial" w:cs="Arial"/>
          <w:highlight w:val="yellow"/>
        </w:rPr>
      </w:pPr>
    </w:p>
    <w:p w:rsidR="00F335A8" w:rsidP="00F335A8" w:rsidRDefault="00F335A8" w14:paraId="34B26332" w14:textId="77777777">
      <w:pPr>
        <w:autoSpaceDE w:val="0"/>
        <w:autoSpaceDN w:val="0"/>
        <w:adjustRightInd w:val="0"/>
        <w:rPr>
          <w:rFonts w:ascii="Arial" w:hAnsi="Arial" w:cs="Arial"/>
        </w:rPr>
      </w:pPr>
      <w:r>
        <w:rPr>
          <w:rFonts w:ascii="Arial" w:hAnsi="Arial" w:cs="Arial"/>
        </w:rPr>
        <w:t>The Greater Norwich Local Plan, which</w:t>
      </w:r>
      <w:r w:rsidRPr="00F335A8">
        <w:rPr>
          <w:rFonts w:ascii="Arial" w:hAnsi="Arial" w:cs="Arial"/>
        </w:rPr>
        <w:t xml:space="preserve"> is being produced by Broadland District Council, Norwich City Council and South Norfolk Council working together with Norfolk County Council through the Greater Norwich</w:t>
      </w:r>
      <w:r>
        <w:rPr>
          <w:rFonts w:ascii="Arial" w:hAnsi="Arial" w:cs="Arial"/>
        </w:rPr>
        <w:t xml:space="preserve"> Development Partnership (GNDP) and aims to produce an overarching plan</w:t>
      </w:r>
      <w:r w:rsidRPr="00F335A8">
        <w:rPr>
          <w:rFonts w:ascii="Arial" w:hAnsi="Arial" w:cs="Arial"/>
        </w:rPr>
        <w:t xml:space="preserve"> which will help to meet local housing and economic growth needs, whilst also protecting and enhancing the environment. </w:t>
      </w:r>
    </w:p>
    <w:p w:rsidR="00F335A8" w:rsidP="00F335A8" w:rsidRDefault="00F335A8" w14:paraId="3A944B7B" w14:textId="77777777">
      <w:pPr>
        <w:autoSpaceDE w:val="0"/>
        <w:autoSpaceDN w:val="0"/>
        <w:adjustRightInd w:val="0"/>
        <w:rPr>
          <w:rFonts w:ascii="Arial" w:hAnsi="Arial" w:cs="Arial"/>
        </w:rPr>
      </w:pPr>
    </w:p>
    <w:p w:rsidRPr="00623AC1" w:rsidR="00F335A8" w:rsidP="00F335A8" w:rsidRDefault="00F335A8" w14:paraId="6620911D" w14:textId="77777777">
      <w:pPr>
        <w:autoSpaceDE w:val="0"/>
        <w:autoSpaceDN w:val="0"/>
        <w:adjustRightInd w:val="0"/>
        <w:rPr>
          <w:rFonts w:ascii="Arial" w:hAnsi="Arial" w:cs="Arial"/>
        </w:rPr>
      </w:pPr>
      <w:r w:rsidRPr="00623AC1">
        <w:rPr>
          <w:rFonts w:ascii="Arial" w:hAnsi="Arial" w:cs="Arial"/>
        </w:rPr>
        <w:t>Going forwar</w:t>
      </w:r>
      <w:r>
        <w:rPr>
          <w:rFonts w:ascii="Arial" w:hAnsi="Arial" w:cs="Arial"/>
        </w:rPr>
        <w:t>d the GNLP</w:t>
      </w:r>
      <w:r w:rsidRPr="00623AC1">
        <w:rPr>
          <w:rFonts w:ascii="Arial" w:hAnsi="Arial" w:cs="Arial"/>
        </w:rPr>
        <w:t xml:space="preserve"> will allocate sites to deliver the required housing numbers, and will have an affordable housing requirement; however, there will be a delay before the affordable homes are completed.</w:t>
      </w:r>
    </w:p>
    <w:p w:rsidR="00F335A8" w:rsidP="00F335A8" w:rsidRDefault="00F335A8" w14:paraId="0A6BE0CD" w14:textId="77777777">
      <w:pPr>
        <w:autoSpaceDE w:val="0"/>
        <w:autoSpaceDN w:val="0"/>
        <w:adjustRightInd w:val="0"/>
        <w:rPr>
          <w:rFonts w:ascii="Arial" w:hAnsi="Arial" w:cs="Arial"/>
          <w:highlight w:val="yellow"/>
        </w:rPr>
      </w:pPr>
    </w:p>
    <w:p w:rsidRPr="00623AC1" w:rsidR="00FD7BA7" w:rsidP="00F335A8" w:rsidRDefault="00F335A8" w14:paraId="679BD516" w14:textId="77777777">
      <w:pPr>
        <w:autoSpaceDE w:val="0"/>
        <w:autoSpaceDN w:val="0"/>
        <w:adjustRightInd w:val="0"/>
        <w:rPr>
          <w:rFonts w:ascii="Arial" w:hAnsi="Arial" w:cs="Arial"/>
        </w:rPr>
      </w:pPr>
      <w:r>
        <w:rPr>
          <w:rFonts w:ascii="Arial" w:hAnsi="Arial" w:cs="Arial"/>
        </w:rPr>
        <w:t xml:space="preserve">Further information on the proposed GNLP can be found here: </w:t>
      </w:r>
      <w:hyperlink w:history="1" r:id="rId12">
        <w:r w:rsidRPr="00E82A15">
          <w:rPr>
            <w:rStyle w:val="Hyperlink"/>
            <w:rFonts w:ascii="Arial" w:hAnsi="Arial" w:cs="Arial"/>
          </w:rPr>
          <w:t>https://www.gnlp.org.uk/</w:t>
        </w:r>
      </w:hyperlink>
      <w:r>
        <w:rPr>
          <w:rFonts w:ascii="Arial" w:hAnsi="Arial" w:cs="Arial"/>
        </w:rPr>
        <w:t xml:space="preserve">  </w:t>
      </w:r>
    </w:p>
    <w:p w:rsidR="00623AC1" w:rsidP="00B064B2" w:rsidRDefault="00623AC1" w14:paraId="604AAB2B" w14:textId="77777777">
      <w:pPr>
        <w:rPr>
          <w:rFonts w:ascii="Arial" w:hAnsi="Arial" w:cs="Arial"/>
        </w:rPr>
      </w:pPr>
    </w:p>
    <w:p w:rsidRPr="006157F5" w:rsidR="006E6128" w:rsidP="008479CD" w:rsidRDefault="009E6E3A" w14:paraId="2B958C54" w14:textId="77777777">
      <w:pPr>
        <w:pStyle w:val="GNHS2"/>
        <w:numPr>
          <w:ilvl w:val="0"/>
          <w:numId w:val="37"/>
        </w:numPr>
      </w:pPr>
      <w:r w:rsidRPr="006157F5">
        <w:t>Homelessness Review Key F</w:t>
      </w:r>
      <w:r w:rsidRPr="006157F5" w:rsidR="00D805A9">
        <w:t>indings</w:t>
      </w:r>
    </w:p>
    <w:p w:rsidR="00D805A9" w:rsidP="00B064B2" w:rsidRDefault="00D805A9" w14:paraId="23354816" w14:textId="77777777">
      <w:pPr>
        <w:rPr>
          <w:rFonts w:ascii="Arial" w:hAnsi="Arial" w:cs="Arial"/>
        </w:rPr>
      </w:pPr>
    </w:p>
    <w:p w:rsidR="00D805A9" w:rsidP="0033622C" w:rsidRDefault="006C41B9" w14:paraId="4E1B381A" w14:textId="77777777">
      <w:pPr>
        <w:pStyle w:val="GNHS3"/>
      </w:pPr>
      <w:r>
        <w:t>3.1</w:t>
      </w:r>
      <w:r w:rsidR="002024B0">
        <w:tab/>
      </w:r>
      <w:r w:rsidR="007F7398">
        <w:t>National Picture</w:t>
      </w:r>
    </w:p>
    <w:p w:rsidR="007F7398" w:rsidP="00B064B2" w:rsidRDefault="007F7398" w14:paraId="05441B8F" w14:textId="77777777">
      <w:pPr>
        <w:rPr>
          <w:rFonts w:ascii="Arial" w:hAnsi="Arial" w:cs="Arial"/>
          <w:b/>
        </w:rPr>
      </w:pPr>
    </w:p>
    <w:p w:rsidRPr="00142E57" w:rsidR="007F7398" w:rsidP="0033622C" w:rsidRDefault="002024B0" w14:paraId="20E1F5D2" w14:textId="77777777">
      <w:pPr>
        <w:pStyle w:val="GNHS3"/>
      </w:pPr>
      <w:r>
        <w:t>3.11</w:t>
      </w:r>
      <w:r>
        <w:tab/>
      </w:r>
      <w:r w:rsidR="007F7398">
        <w:t>Summary</w:t>
      </w:r>
    </w:p>
    <w:p w:rsidR="00D805A9" w:rsidP="00B064B2" w:rsidRDefault="00D805A9" w14:paraId="17A04DF6" w14:textId="77777777">
      <w:pPr>
        <w:rPr>
          <w:rFonts w:ascii="Arial" w:hAnsi="Arial" w:cs="Arial"/>
        </w:rPr>
      </w:pPr>
    </w:p>
    <w:p w:rsidR="00D805A9" w:rsidP="00B064B2" w:rsidRDefault="00D805A9" w14:paraId="7BDB9395" w14:textId="77777777">
      <w:pPr>
        <w:rPr>
          <w:rFonts w:ascii="Arial" w:hAnsi="Arial" w:cs="Arial"/>
        </w:rPr>
      </w:pPr>
      <w:r>
        <w:rPr>
          <w:rFonts w:ascii="Arial" w:hAnsi="Arial" w:cs="Arial"/>
        </w:rPr>
        <w:t>The Homeless</w:t>
      </w:r>
      <w:r w:rsidR="003E4F1F">
        <w:rPr>
          <w:rFonts w:ascii="Arial" w:hAnsi="Arial" w:cs="Arial"/>
        </w:rPr>
        <w:t>ness Monitor: England 2019 concluded</w:t>
      </w:r>
      <w:r>
        <w:rPr>
          <w:rFonts w:ascii="Arial" w:hAnsi="Arial" w:cs="Arial"/>
        </w:rPr>
        <w:t xml:space="preserve"> the following in its key findings:</w:t>
      </w:r>
    </w:p>
    <w:p w:rsidR="00D805A9" w:rsidP="00B064B2" w:rsidRDefault="00D805A9" w14:paraId="31B9A454" w14:textId="77777777">
      <w:pPr>
        <w:rPr>
          <w:rFonts w:ascii="Arial" w:hAnsi="Arial" w:cs="Arial"/>
        </w:rPr>
      </w:pPr>
    </w:p>
    <w:p w:rsidRPr="00A00398" w:rsidR="00D805A9" w:rsidP="00616716" w:rsidRDefault="00D805A9" w14:paraId="39E20541" w14:textId="77777777">
      <w:pPr>
        <w:pStyle w:val="ListParagraph"/>
        <w:numPr>
          <w:ilvl w:val="0"/>
          <w:numId w:val="10"/>
        </w:numPr>
        <w:rPr>
          <w:rFonts w:ascii="Arial" w:hAnsi="Arial" w:cs="Arial"/>
        </w:rPr>
      </w:pPr>
      <w:r w:rsidRPr="00A00398">
        <w:rPr>
          <w:rFonts w:ascii="Arial" w:hAnsi="Arial" w:cs="Arial"/>
        </w:rPr>
        <w:t>71% of local authorities reported that homelessness had been increasing.</w:t>
      </w:r>
    </w:p>
    <w:p w:rsidRPr="00A00398" w:rsidR="00D805A9" w:rsidP="00616716" w:rsidRDefault="00D805A9" w14:paraId="2EF0672E" w14:textId="77777777">
      <w:pPr>
        <w:pStyle w:val="ListParagraph"/>
        <w:numPr>
          <w:ilvl w:val="0"/>
          <w:numId w:val="10"/>
        </w:numPr>
        <w:rPr>
          <w:rFonts w:ascii="Arial" w:hAnsi="Arial" w:cs="Arial"/>
        </w:rPr>
      </w:pPr>
      <w:r w:rsidRPr="00A00398">
        <w:rPr>
          <w:rFonts w:ascii="Arial" w:hAnsi="Arial" w:cs="Arial"/>
        </w:rPr>
        <w:t>The rise since 2010 in the number of households made homeless by the ending of private tenancies seem finally to have peaked.</w:t>
      </w:r>
    </w:p>
    <w:p w:rsidRPr="00A00398" w:rsidR="00D805A9" w:rsidP="00616716" w:rsidRDefault="00D805A9" w14:paraId="57B31E03" w14:textId="77777777">
      <w:pPr>
        <w:pStyle w:val="ListParagraph"/>
        <w:numPr>
          <w:ilvl w:val="0"/>
          <w:numId w:val="10"/>
        </w:numPr>
        <w:rPr>
          <w:rFonts w:ascii="Arial" w:hAnsi="Arial" w:cs="Arial"/>
        </w:rPr>
      </w:pPr>
      <w:r w:rsidRPr="00A00398">
        <w:rPr>
          <w:rFonts w:ascii="Arial" w:hAnsi="Arial" w:cs="Arial"/>
        </w:rPr>
        <w:lastRenderedPageBreak/>
        <w:t>After rapid growth of rough sleeping since 2010</w:t>
      </w:r>
      <w:r w:rsidR="0097479B">
        <w:rPr>
          <w:rFonts w:ascii="Arial" w:hAnsi="Arial" w:cs="Arial"/>
        </w:rPr>
        <w:t>,</w:t>
      </w:r>
      <w:r w:rsidRPr="00A00398">
        <w:rPr>
          <w:rFonts w:ascii="Arial" w:hAnsi="Arial" w:cs="Arial"/>
        </w:rPr>
        <w:t xml:space="preserve"> numbers have started to level in England.</w:t>
      </w:r>
    </w:p>
    <w:p w:rsidRPr="00A00398" w:rsidR="00D805A9" w:rsidP="00616716" w:rsidRDefault="00D805A9" w14:paraId="0D932BD0" w14:textId="77777777">
      <w:pPr>
        <w:pStyle w:val="ListParagraph"/>
        <w:numPr>
          <w:ilvl w:val="0"/>
          <w:numId w:val="10"/>
        </w:numPr>
        <w:rPr>
          <w:rFonts w:ascii="Arial" w:hAnsi="Arial" w:cs="Arial"/>
        </w:rPr>
      </w:pPr>
      <w:r w:rsidRPr="00A00398">
        <w:rPr>
          <w:rFonts w:ascii="Arial" w:hAnsi="Arial" w:cs="Arial"/>
        </w:rPr>
        <w:t>There is not enough social housing to meet housing need.</w:t>
      </w:r>
    </w:p>
    <w:p w:rsidRPr="00A00398" w:rsidR="00D805A9" w:rsidP="00616716" w:rsidRDefault="00D805A9" w14:paraId="6204926B" w14:textId="77777777">
      <w:pPr>
        <w:pStyle w:val="ListParagraph"/>
        <w:numPr>
          <w:ilvl w:val="0"/>
          <w:numId w:val="10"/>
        </w:numPr>
        <w:rPr>
          <w:rFonts w:ascii="Arial" w:hAnsi="Arial" w:cs="Arial"/>
        </w:rPr>
      </w:pPr>
      <w:r w:rsidRPr="00A00398">
        <w:rPr>
          <w:rFonts w:ascii="Arial" w:hAnsi="Arial" w:cs="Arial"/>
        </w:rPr>
        <w:t>Private sector rents seem to be falling however; growth in the private rented sector has exposed many more low-income households to higher housing costs.</w:t>
      </w:r>
    </w:p>
    <w:p w:rsidRPr="00A00398" w:rsidR="00D805A9" w:rsidP="00616716" w:rsidRDefault="00D805A9" w14:paraId="6471F420" w14:textId="77777777">
      <w:pPr>
        <w:pStyle w:val="ListParagraph"/>
        <w:numPr>
          <w:ilvl w:val="0"/>
          <w:numId w:val="10"/>
        </w:numPr>
        <w:rPr>
          <w:rFonts w:ascii="Arial" w:hAnsi="Arial" w:cs="Arial"/>
        </w:rPr>
      </w:pPr>
      <w:r w:rsidRPr="00A00398">
        <w:rPr>
          <w:rFonts w:ascii="Arial" w:hAnsi="Arial" w:cs="Arial"/>
        </w:rPr>
        <w:t>The safety net of housing benefit has now effectively ended for the bulk of private tenants in receipt of benefit across the country,</w:t>
      </w:r>
      <w:r w:rsidR="00A00398">
        <w:rPr>
          <w:rFonts w:ascii="Arial" w:hAnsi="Arial" w:cs="Arial"/>
        </w:rPr>
        <w:t xml:space="preserve"> whereby post-housing incomes were protected from erosion below basic benefit levels. Y</w:t>
      </w:r>
      <w:r w:rsidRPr="00A00398">
        <w:rPr>
          <w:rFonts w:ascii="Arial" w:hAnsi="Arial" w:cs="Arial"/>
        </w:rPr>
        <w:t xml:space="preserve">oung people under 35 </w:t>
      </w:r>
      <w:r w:rsidRPr="00A00398" w:rsidR="00A00398">
        <w:rPr>
          <w:rFonts w:ascii="Arial" w:hAnsi="Arial" w:cs="Arial"/>
        </w:rPr>
        <w:t>particularly</w:t>
      </w:r>
      <w:r w:rsidRPr="00A00398">
        <w:rPr>
          <w:rFonts w:ascii="Arial" w:hAnsi="Arial" w:cs="Arial"/>
        </w:rPr>
        <w:t xml:space="preserve"> badly affected by LHA and working age benefit freeze</w:t>
      </w:r>
      <w:r w:rsidR="00A00398">
        <w:rPr>
          <w:rFonts w:ascii="Arial" w:hAnsi="Arial" w:cs="Arial"/>
        </w:rPr>
        <w:t>s</w:t>
      </w:r>
      <w:r w:rsidRPr="00A00398">
        <w:rPr>
          <w:rFonts w:ascii="Arial" w:hAnsi="Arial" w:cs="Arial"/>
        </w:rPr>
        <w:t>.</w:t>
      </w:r>
    </w:p>
    <w:p w:rsidRPr="00A00398" w:rsidR="00D805A9" w:rsidP="00616716" w:rsidRDefault="00A00398" w14:paraId="02AF66FD" w14:textId="77777777">
      <w:pPr>
        <w:pStyle w:val="ListParagraph"/>
        <w:numPr>
          <w:ilvl w:val="0"/>
          <w:numId w:val="10"/>
        </w:numPr>
        <w:rPr>
          <w:rFonts w:ascii="Arial" w:hAnsi="Arial" w:cs="Arial"/>
        </w:rPr>
      </w:pPr>
      <w:r w:rsidRPr="00A00398">
        <w:rPr>
          <w:rFonts w:ascii="Arial" w:hAnsi="Arial" w:cs="Arial"/>
        </w:rPr>
        <w:t xml:space="preserve">Further changes to welfare reform could impact </w:t>
      </w:r>
      <w:r>
        <w:rPr>
          <w:rFonts w:ascii="Arial" w:hAnsi="Arial" w:cs="Arial"/>
        </w:rPr>
        <w:t xml:space="preserve">negatively </w:t>
      </w:r>
      <w:r w:rsidRPr="00A00398">
        <w:rPr>
          <w:rFonts w:ascii="Arial" w:hAnsi="Arial" w:cs="Arial"/>
        </w:rPr>
        <w:t>on homelessness numbers, specifically the full roll out of Universal Credit.</w:t>
      </w:r>
    </w:p>
    <w:p w:rsidR="0086486A" w:rsidP="00616716" w:rsidRDefault="00A00398" w14:paraId="1E0EB8F3" w14:textId="77777777">
      <w:pPr>
        <w:pStyle w:val="ListParagraph"/>
        <w:numPr>
          <w:ilvl w:val="0"/>
          <w:numId w:val="10"/>
        </w:numPr>
        <w:rPr>
          <w:rFonts w:ascii="Arial" w:hAnsi="Arial" w:cs="Arial"/>
        </w:rPr>
      </w:pPr>
      <w:r w:rsidRPr="00A00398">
        <w:rPr>
          <w:rFonts w:ascii="Arial" w:hAnsi="Arial" w:cs="Arial"/>
        </w:rPr>
        <w:t>Most local authorities provide</w:t>
      </w:r>
      <w:r w:rsidR="000D433D">
        <w:rPr>
          <w:rFonts w:ascii="Arial" w:hAnsi="Arial" w:cs="Arial"/>
        </w:rPr>
        <w:t>d encouraging evidence that the HRA</w:t>
      </w:r>
      <w:r w:rsidRPr="00A00398">
        <w:rPr>
          <w:rFonts w:ascii="Arial" w:hAnsi="Arial" w:cs="Arial"/>
        </w:rPr>
        <w:t xml:space="preserve"> is enabling councils to help more people in housing need.</w:t>
      </w:r>
    </w:p>
    <w:p w:rsidRPr="00AF7929" w:rsidR="0033622C" w:rsidP="0033622C" w:rsidRDefault="0033622C" w14:paraId="35DA0F3B" w14:textId="77777777">
      <w:pPr>
        <w:pStyle w:val="ListParagraph"/>
        <w:rPr>
          <w:rFonts w:ascii="Arial" w:hAnsi="Arial" w:cs="Arial"/>
        </w:rPr>
      </w:pPr>
    </w:p>
    <w:p w:rsidRPr="00C637BF" w:rsidR="0086486A" w:rsidP="0033622C" w:rsidRDefault="007F7398" w14:paraId="098729D2" w14:textId="77777777">
      <w:pPr>
        <w:pStyle w:val="GNHS3"/>
      </w:pPr>
      <w:r>
        <w:t>3.12</w:t>
      </w:r>
      <w:r w:rsidR="000D433D">
        <w:tab/>
      </w:r>
      <w:r w:rsidRPr="00C637BF" w:rsidR="00C637BF">
        <w:t xml:space="preserve">Private </w:t>
      </w:r>
      <w:r w:rsidR="00C7060B">
        <w:t xml:space="preserve">rented </w:t>
      </w:r>
      <w:r w:rsidRPr="00C637BF" w:rsidR="00C637BF">
        <w:t>sector tenancies</w:t>
      </w:r>
    </w:p>
    <w:p w:rsidR="0086486A" w:rsidP="00B064B2" w:rsidRDefault="0086486A" w14:paraId="215C1989" w14:textId="77777777">
      <w:pPr>
        <w:rPr>
          <w:rFonts w:ascii="Arial" w:hAnsi="Arial" w:cs="Arial"/>
        </w:rPr>
      </w:pPr>
    </w:p>
    <w:p w:rsidR="00A45E5E" w:rsidP="00B064B2" w:rsidRDefault="00C637BF" w14:paraId="654C51BE" w14:textId="77777777">
      <w:pPr>
        <w:rPr>
          <w:rFonts w:ascii="Arial" w:hAnsi="Arial" w:cs="Arial"/>
        </w:rPr>
      </w:pPr>
      <w:r>
        <w:rPr>
          <w:rFonts w:ascii="Arial" w:hAnsi="Arial" w:cs="Arial"/>
        </w:rPr>
        <w:t>Whilst the private sector can provide household</w:t>
      </w:r>
      <w:r w:rsidR="000F11C7">
        <w:rPr>
          <w:rFonts w:ascii="Arial" w:hAnsi="Arial" w:cs="Arial"/>
        </w:rPr>
        <w:t>s</w:t>
      </w:r>
      <w:r>
        <w:rPr>
          <w:rFonts w:ascii="Arial" w:hAnsi="Arial" w:cs="Arial"/>
        </w:rPr>
        <w:t xml:space="preserve"> with flexibility</w:t>
      </w:r>
      <w:r w:rsidR="00C7060B">
        <w:rPr>
          <w:rFonts w:ascii="Arial" w:hAnsi="Arial" w:cs="Arial"/>
        </w:rPr>
        <w:t xml:space="preserve"> around types of housing</w:t>
      </w:r>
      <w:r w:rsidR="00B3267F">
        <w:rPr>
          <w:rFonts w:ascii="Arial" w:hAnsi="Arial" w:cs="Arial"/>
        </w:rPr>
        <w:t xml:space="preserve"> in terms of</w:t>
      </w:r>
      <w:r w:rsidR="00C7060B">
        <w:rPr>
          <w:rFonts w:ascii="Arial" w:hAnsi="Arial" w:cs="Arial"/>
        </w:rPr>
        <w:t xml:space="preserve"> </w:t>
      </w:r>
      <w:r w:rsidR="000F11C7">
        <w:rPr>
          <w:rFonts w:ascii="Arial" w:hAnsi="Arial" w:cs="Arial"/>
        </w:rPr>
        <w:t>where people want to live it is still the most common type of housing a person will be</w:t>
      </w:r>
      <w:r w:rsidR="00814A90">
        <w:rPr>
          <w:rFonts w:ascii="Arial" w:hAnsi="Arial" w:cs="Arial"/>
        </w:rPr>
        <w:t xml:space="preserve"> living in</w:t>
      </w:r>
      <w:r w:rsidR="000F11C7">
        <w:rPr>
          <w:rFonts w:ascii="Arial" w:hAnsi="Arial" w:cs="Arial"/>
        </w:rPr>
        <w:t xml:space="preserve"> when someone asks for help </w:t>
      </w:r>
      <w:r w:rsidR="00814A90">
        <w:rPr>
          <w:rFonts w:ascii="Arial" w:hAnsi="Arial" w:cs="Arial"/>
        </w:rPr>
        <w:t>at our council’s housing options teams</w:t>
      </w:r>
      <w:r w:rsidR="000F11C7">
        <w:rPr>
          <w:rFonts w:ascii="Arial" w:hAnsi="Arial" w:cs="Arial"/>
        </w:rPr>
        <w:t>.</w:t>
      </w:r>
      <w:r w:rsidR="00C55B21">
        <w:rPr>
          <w:rFonts w:ascii="Arial" w:hAnsi="Arial" w:cs="Arial"/>
        </w:rPr>
        <w:t xml:space="preserve"> T</w:t>
      </w:r>
      <w:r w:rsidR="00814A90">
        <w:rPr>
          <w:rFonts w:ascii="Arial" w:hAnsi="Arial" w:cs="Arial"/>
        </w:rPr>
        <w:t>he En</w:t>
      </w:r>
      <w:r w:rsidR="00454DA1">
        <w:rPr>
          <w:rFonts w:ascii="Arial" w:hAnsi="Arial" w:cs="Arial"/>
        </w:rPr>
        <w:t xml:space="preserve">glish Housing Survey 2018-19 </w:t>
      </w:r>
      <w:r w:rsidR="00814A90">
        <w:rPr>
          <w:rFonts w:ascii="Arial" w:hAnsi="Arial" w:cs="Arial"/>
        </w:rPr>
        <w:t>found that for private renters, the average length of residence was 4.4 years, compared to 18.1 and 11.6 for owner-occupiers and social renters.</w:t>
      </w:r>
      <w:r w:rsidR="001765F5">
        <w:rPr>
          <w:rFonts w:ascii="Arial" w:hAnsi="Arial" w:cs="Arial"/>
        </w:rPr>
        <w:t xml:space="preserve"> Our H-CLIC 2018-19 figures show that we need to do more to keep people in their private rented homes and help stop people having to move and face unn</w:t>
      </w:r>
      <w:r w:rsidR="000F1517">
        <w:rPr>
          <w:rFonts w:ascii="Arial" w:hAnsi="Arial" w:cs="Arial"/>
        </w:rPr>
        <w:t>ecessary disturbance in their lives.</w:t>
      </w:r>
    </w:p>
    <w:p w:rsidR="000D433D" w:rsidP="00B064B2" w:rsidRDefault="000D433D" w14:paraId="3BE8CFF9" w14:textId="77777777">
      <w:pPr>
        <w:rPr>
          <w:rFonts w:ascii="Arial" w:hAnsi="Arial" w:cs="Arial"/>
        </w:rPr>
      </w:pPr>
    </w:p>
    <w:p w:rsidRPr="00007A21" w:rsidR="000D433D" w:rsidP="0033622C" w:rsidRDefault="0033622C" w14:paraId="6D7F5726" w14:textId="77777777">
      <w:pPr>
        <w:pStyle w:val="GNHS3"/>
      </w:pPr>
      <w:r>
        <w:t>3.2</w:t>
      </w:r>
      <w:r>
        <w:tab/>
      </w:r>
      <w:r w:rsidRPr="00007A21" w:rsidR="00D50326">
        <w:t>Local Picture</w:t>
      </w:r>
    </w:p>
    <w:p w:rsidR="00D50326" w:rsidP="000D433D" w:rsidRDefault="00D50326" w14:paraId="493F48E3" w14:textId="77777777">
      <w:pPr>
        <w:rPr>
          <w:rFonts w:ascii="Arial" w:hAnsi="Arial" w:cs="Arial"/>
          <w:b/>
        </w:rPr>
      </w:pPr>
    </w:p>
    <w:p w:rsidRPr="003054AE" w:rsidR="000D433D" w:rsidP="0033622C" w:rsidRDefault="00007A21" w14:paraId="1BDBFE84" w14:textId="77777777">
      <w:pPr>
        <w:pStyle w:val="GNHS3"/>
      </w:pPr>
      <w:r>
        <w:t>3</w:t>
      </w:r>
      <w:r w:rsidR="00D50326">
        <w:t>.</w:t>
      </w:r>
      <w:r>
        <w:t>2</w:t>
      </w:r>
      <w:r w:rsidR="00D50326">
        <w:t>1</w:t>
      </w:r>
      <w:r w:rsidR="00D50326">
        <w:tab/>
      </w:r>
      <w:r w:rsidR="000D433D">
        <w:t>Better R</w:t>
      </w:r>
      <w:r w:rsidR="00D50326">
        <w:t>ecording o</w:t>
      </w:r>
      <w:r w:rsidR="000D433D">
        <w:t>f H</w:t>
      </w:r>
      <w:r w:rsidRPr="003054AE" w:rsidR="000D433D">
        <w:t>omelessness</w:t>
      </w:r>
    </w:p>
    <w:p w:rsidR="000D433D" w:rsidP="00EF1293" w:rsidRDefault="000D433D" w14:paraId="61BFBD75" w14:textId="77777777">
      <w:pPr>
        <w:pStyle w:val="ListParagraph"/>
        <w:ind w:left="0"/>
        <w:rPr>
          <w:rFonts w:ascii="Arial" w:hAnsi="Arial" w:cs="Arial"/>
        </w:rPr>
      </w:pPr>
    </w:p>
    <w:p w:rsidR="00EF1293" w:rsidP="00EF1293" w:rsidRDefault="00EF1293" w14:paraId="13D4117D" w14:textId="77777777">
      <w:pPr>
        <w:pStyle w:val="ListParagraph"/>
        <w:ind w:left="0"/>
        <w:rPr>
          <w:rFonts w:ascii="Arial" w:hAnsi="Arial" w:cs="Arial"/>
        </w:rPr>
      </w:pPr>
      <w:r>
        <w:rPr>
          <w:rFonts w:ascii="Arial" w:hAnsi="Arial" w:cs="Arial"/>
        </w:rPr>
        <w:t xml:space="preserve">The Homelessness </w:t>
      </w:r>
      <w:r w:rsidR="00EF110A">
        <w:rPr>
          <w:rFonts w:ascii="Arial" w:hAnsi="Arial" w:cs="Arial"/>
        </w:rPr>
        <w:t>Reduction Act (HRA) 2017 came into effect</w:t>
      </w:r>
      <w:r>
        <w:rPr>
          <w:rFonts w:ascii="Arial" w:hAnsi="Arial" w:cs="Arial"/>
        </w:rPr>
        <w:t xml:space="preserve"> on 03 April 2018. The act places a greater emphasis on prevention helping all those people affected by homelessness regardless of priority need. The HRA updated the Housing Act 1996, producing new prevention and relief duties for local housing authorities in England.</w:t>
      </w:r>
    </w:p>
    <w:p w:rsidR="000D433D" w:rsidP="000D433D" w:rsidRDefault="000D433D" w14:paraId="49AFB609" w14:textId="77777777">
      <w:pPr>
        <w:rPr>
          <w:rFonts w:ascii="Arial" w:hAnsi="Arial" w:cs="Arial"/>
        </w:rPr>
      </w:pPr>
    </w:p>
    <w:p w:rsidR="000D433D" w:rsidP="000D433D" w:rsidRDefault="000D433D" w14:paraId="74E75800" w14:textId="77777777">
      <w:pPr>
        <w:rPr>
          <w:rFonts w:ascii="Arial" w:hAnsi="Arial" w:cs="Arial"/>
        </w:rPr>
      </w:pPr>
      <w:r>
        <w:rPr>
          <w:rFonts w:ascii="Arial" w:hAnsi="Arial" w:cs="Arial"/>
        </w:rPr>
        <w:t>With the advent of the HRA, l</w:t>
      </w:r>
      <w:r w:rsidR="00EF110A">
        <w:rPr>
          <w:rFonts w:ascii="Arial" w:hAnsi="Arial" w:cs="Arial"/>
        </w:rPr>
        <w:t xml:space="preserve">ocal authorities now use a </w:t>
      </w:r>
      <w:r>
        <w:rPr>
          <w:rFonts w:ascii="Arial" w:hAnsi="Arial" w:cs="Arial"/>
        </w:rPr>
        <w:t>more accurate method of measuring homelessness compared to previous monitoring regimes. This data should provide local authorities nationally and locally of measuring trends in homelessness and specifically which households are most at risk. Future strategi</w:t>
      </w:r>
      <w:r w:rsidR="00EF110A">
        <w:rPr>
          <w:rFonts w:ascii="Arial" w:hAnsi="Arial" w:cs="Arial"/>
        </w:rPr>
        <w:t>es and reviews will be evidence-</w:t>
      </w:r>
      <w:r>
        <w:rPr>
          <w:rFonts w:ascii="Arial" w:hAnsi="Arial" w:cs="Arial"/>
        </w:rPr>
        <w:t>based in order that services can be better targeted and responsive to customers’ needs.</w:t>
      </w:r>
    </w:p>
    <w:p w:rsidR="000D433D" w:rsidP="00EF1293" w:rsidRDefault="000D433D" w14:paraId="6A27E4F2" w14:textId="77777777">
      <w:pPr>
        <w:pStyle w:val="ListParagraph"/>
        <w:ind w:left="0"/>
        <w:rPr>
          <w:rFonts w:ascii="Arial" w:hAnsi="Arial" w:cs="Arial"/>
        </w:rPr>
      </w:pPr>
    </w:p>
    <w:p w:rsidR="00EF1293" w:rsidP="005B7CC0" w:rsidRDefault="00EF1293" w14:paraId="1786F5F4" w14:textId="77777777">
      <w:pPr>
        <w:pStyle w:val="ListParagraph"/>
        <w:ind w:left="0"/>
        <w:rPr>
          <w:rFonts w:ascii="Arial" w:hAnsi="Arial" w:cs="Arial"/>
        </w:rPr>
      </w:pPr>
      <w:r>
        <w:rPr>
          <w:rFonts w:ascii="Arial" w:hAnsi="Arial" w:cs="Arial"/>
        </w:rPr>
        <w:t xml:space="preserve">The </w:t>
      </w:r>
      <w:r w:rsidR="005B7CC0">
        <w:rPr>
          <w:rFonts w:ascii="Arial" w:hAnsi="Arial" w:cs="Arial"/>
        </w:rPr>
        <w:t>(</w:t>
      </w:r>
      <w:r>
        <w:rPr>
          <w:rFonts w:ascii="Arial" w:hAnsi="Arial" w:cs="Arial"/>
        </w:rPr>
        <w:t>experimental</w:t>
      </w:r>
      <w:r w:rsidR="005B7CC0">
        <w:rPr>
          <w:rFonts w:ascii="Arial" w:hAnsi="Arial" w:cs="Arial"/>
        </w:rPr>
        <w:t>)</w:t>
      </w:r>
      <w:r w:rsidR="00446043">
        <w:rPr>
          <w:rFonts w:ascii="Arial" w:hAnsi="Arial" w:cs="Arial"/>
        </w:rPr>
        <w:t xml:space="preserve"> data </w:t>
      </w:r>
      <w:r>
        <w:rPr>
          <w:rFonts w:ascii="Arial" w:hAnsi="Arial" w:cs="Arial"/>
        </w:rPr>
        <w:t xml:space="preserve">collected as part of this new legislation provides a greater depth of </w:t>
      </w:r>
      <w:r w:rsidR="005B7CC0">
        <w:rPr>
          <w:rFonts w:ascii="Arial" w:hAnsi="Arial" w:cs="Arial"/>
        </w:rPr>
        <w:t>information on activities undertaken by local authorities to help or prevent homelessness and the outcomes of these activities.</w:t>
      </w:r>
      <w:r>
        <w:rPr>
          <w:rFonts w:ascii="Arial" w:hAnsi="Arial" w:cs="Arial"/>
        </w:rPr>
        <w:t xml:space="preserve"> </w:t>
      </w:r>
      <w:r w:rsidR="005B7CC0">
        <w:rPr>
          <w:rFonts w:ascii="Arial" w:hAnsi="Arial" w:cs="Arial"/>
        </w:rPr>
        <w:t xml:space="preserve">It is hoped that this information can be used to provide a greater understanding </w:t>
      </w:r>
      <w:r w:rsidR="00EF110A">
        <w:rPr>
          <w:rFonts w:ascii="Arial" w:hAnsi="Arial" w:cs="Arial"/>
        </w:rPr>
        <w:t xml:space="preserve">of </w:t>
      </w:r>
      <w:r w:rsidR="005B7CC0">
        <w:rPr>
          <w:rFonts w:ascii="Arial" w:hAnsi="Arial" w:cs="Arial"/>
        </w:rPr>
        <w:t xml:space="preserve">homelessness by understanding the profile of the households that are </w:t>
      </w:r>
      <w:r w:rsidR="005B7CC0">
        <w:rPr>
          <w:rFonts w:ascii="Arial" w:hAnsi="Arial" w:cs="Arial"/>
        </w:rPr>
        <w:lastRenderedPageBreak/>
        <w:t>approaching us for help.</w:t>
      </w:r>
      <w:r w:rsidR="000244FE">
        <w:rPr>
          <w:rFonts w:ascii="Arial" w:hAnsi="Arial" w:cs="Arial"/>
        </w:rPr>
        <w:t xml:space="preserve"> The following chart shows how a typical homeless (or threatened with homelessness) household </w:t>
      </w:r>
      <w:r w:rsidR="00026896">
        <w:rPr>
          <w:rFonts w:ascii="Arial" w:hAnsi="Arial" w:cs="Arial"/>
        </w:rPr>
        <w:t>is</w:t>
      </w:r>
      <w:r w:rsidR="000244FE">
        <w:rPr>
          <w:rFonts w:ascii="Arial" w:hAnsi="Arial" w:cs="Arial"/>
        </w:rPr>
        <w:t xml:space="preserve"> processed under the new legislation</w:t>
      </w:r>
      <w:r w:rsidR="000244FE">
        <w:rPr>
          <w:rStyle w:val="FootnoteReference"/>
          <w:rFonts w:ascii="Arial" w:hAnsi="Arial" w:cs="Arial"/>
        </w:rPr>
        <w:footnoteReference w:id="11"/>
      </w:r>
      <w:r w:rsidR="000244FE">
        <w:rPr>
          <w:rFonts w:ascii="Arial" w:hAnsi="Arial" w:cs="Arial"/>
        </w:rPr>
        <w:t>:</w:t>
      </w:r>
    </w:p>
    <w:p w:rsidR="000244FE" w:rsidP="005B7CC0" w:rsidRDefault="000244FE" w14:paraId="2F96438B" w14:textId="77777777">
      <w:pPr>
        <w:pStyle w:val="ListParagraph"/>
        <w:ind w:left="0"/>
        <w:rPr>
          <w:rFonts w:ascii="Arial" w:hAnsi="Arial" w:cs="Arial"/>
        </w:rPr>
      </w:pPr>
    </w:p>
    <w:p w:rsidR="005B7CC0" w:rsidP="005B7CC0" w:rsidRDefault="005B7CC0" w14:paraId="32AA044A" w14:textId="77777777">
      <w:pPr>
        <w:pStyle w:val="ListParagraph"/>
        <w:ind w:left="0"/>
        <w:rPr>
          <w:rFonts w:ascii="Arial" w:hAnsi="Arial" w:cs="Arial"/>
        </w:rPr>
      </w:pPr>
    </w:p>
    <w:p w:rsidR="005B7CC0" w:rsidP="005B7CC0" w:rsidRDefault="0086486A" w14:paraId="3F7347BA" w14:textId="77777777">
      <w:pPr>
        <w:pStyle w:val="ListParagraph"/>
        <w:ind w:left="0"/>
        <w:rPr>
          <w:rFonts w:ascii="Arial" w:hAnsi="Arial" w:cs="Arial"/>
          <w:b/>
          <w:color w:val="414142"/>
        </w:rPr>
      </w:pPr>
      <w:r>
        <w:rPr>
          <w:rFonts w:ascii="Arial" w:hAnsi="Arial" w:cs="Arial"/>
          <w:b/>
          <w:noProof/>
          <w:color w:val="414142"/>
        </w:rPr>
        <w:drawing>
          <wp:inline distT="0" distB="0" distL="0" distR="0" wp14:anchorId="3701030D" wp14:editId="3CDED6AD">
            <wp:extent cx="5267325" cy="4543425"/>
            <wp:effectExtent l="0" t="0" r="9525" b="9525"/>
            <wp:docPr id="6" name="Picture 6" descr="Flow chart showing actions to be taken where household presents to the Council as homeless or threatened with homelessness under the Homelessness Reduction Act 2017" title="Homelessness Reduction Act 2017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4543425"/>
                    </a:xfrm>
                    <a:prstGeom prst="rect">
                      <a:avLst/>
                    </a:prstGeom>
                    <a:noFill/>
                    <a:ln>
                      <a:noFill/>
                    </a:ln>
                  </pic:spPr>
                </pic:pic>
              </a:graphicData>
            </a:graphic>
          </wp:inline>
        </w:drawing>
      </w:r>
    </w:p>
    <w:p w:rsidR="00E63FBB" w:rsidP="00EF1293" w:rsidRDefault="00E63FBB" w14:paraId="449370EE" w14:textId="77777777">
      <w:pPr>
        <w:pStyle w:val="ListParagraph"/>
        <w:autoSpaceDE w:val="0"/>
        <w:autoSpaceDN w:val="0"/>
        <w:adjustRightInd w:val="0"/>
        <w:rPr>
          <w:rFonts w:ascii="Arial" w:hAnsi="Arial" w:cs="Arial"/>
          <w:b/>
          <w:color w:val="414142"/>
        </w:rPr>
      </w:pPr>
    </w:p>
    <w:p w:rsidR="005D2747" w:rsidP="00EA0971" w:rsidRDefault="005D2747" w14:paraId="67602370" w14:textId="77777777">
      <w:pPr>
        <w:autoSpaceDE w:val="0"/>
        <w:autoSpaceDN w:val="0"/>
        <w:adjustRightInd w:val="0"/>
        <w:rPr>
          <w:rFonts w:ascii="Arial" w:hAnsi="Arial" w:cs="Arial"/>
          <w:b/>
          <w:color w:val="414142"/>
        </w:rPr>
      </w:pPr>
    </w:p>
    <w:p w:rsidRPr="000D433D" w:rsidR="00D50326" w:rsidP="00D50326" w:rsidRDefault="00EF110A" w14:paraId="6E3C7CBE" w14:textId="77777777">
      <w:pPr>
        <w:rPr>
          <w:rFonts w:ascii="Arial" w:hAnsi="Arial" w:cs="Arial"/>
        </w:rPr>
      </w:pPr>
      <w:r>
        <w:rPr>
          <w:rFonts w:ascii="Arial" w:hAnsi="Arial" w:cs="Arial"/>
        </w:rPr>
        <w:t>W</w:t>
      </w:r>
      <w:r w:rsidRPr="000D433D" w:rsidR="00D50326">
        <w:rPr>
          <w:rFonts w:ascii="Arial" w:hAnsi="Arial" w:cs="Arial"/>
        </w:rPr>
        <w:t>e are likely to see increases in the number of homeless households in Greater Norwich b</w:t>
      </w:r>
      <w:r w:rsidR="00A1306A">
        <w:rPr>
          <w:rFonts w:ascii="Arial" w:hAnsi="Arial" w:cs="Arial"/>
        </w:rPr>
        <w:t>y around 4.5% from 2021 to 2026, according to an analysis using the Core Homelessness M</w:t>
      </w:r>
      <w:r w:rsidRPr="000D433D" w:rsidR="00D50326">
        <w:rPr>
          <w:rFonts w:ascii="Arial" w:hAnsi="Arial" w:cs="Arial"/>
        </w:rPr>
        <w:t>odel for the South of England</w:t>
      </w:r>
      <w:r w:rsidR="006C167C">
        <w:rPr>
          <w:rFonts w:ascii="Arial" w:hAnsi="Arial" w:cs="Arial"/>
        </w:rPr>
        <w:t xml:space="preserve"> in which Greater Norwich</w:t>
      </w:r>
      <w:r w:rsidR="001F50C7">
        <w:rPr>
          <w:rFonts w:ascii="Arial" w:hAnsi="Arial" w:cs="Arial"/>
        </w:rPr>
        <w:t xml:space="preserve"> is situated for the purposes of this study.</w:t>
      </w:r>
      <w:r w:rsidR="006C167C">
        <w:rPr>
          <w:rFonts w:ascii="Arial" w:hAnsi="Arial" w:cs="Arial"/>
        </w:rPr>
        <w:t xml:space="preserve"> </w:t>
      </w:r>
      <w:r w:rsidRPr="000D433D" w:rsidR="00D50326">
        <w:rPr>
          <w:rStyle w:val="FootnoteReference"/>
          <w:rFonts w:ascii="Arial" w:hAnsi="Arial" w:cs="Arial"/>
        </w:rPr>
        <w:t xml:space="preserve"> </w:t>
      </w:r>
      <w:r w:rsidRPr="003054AE" w:rsidR="00D50326">
        <w:rPr>
          <w:rStyle w:val="FootnoteReference"/>
          <w:rFonts w:ascii="Arial" w:hAnsi="Arial" w:cs="Arial"/>
          <w:sz w:val="16"/>
          <w:szCs w:val="16"/>
        </w:rPr>
        <w:footnoteReference w:id="12"/>
      </w:r>
    </w:p>
    <w:p w:rsidR="00D50326" w:rsidP="00D50326" w:rsidRDefault="00D50326" w14:paraId="218A64EF" w14:textId="77777777">
      <w:pPr>
        <w:pStyle w:val="ListParagraph"/>
        <w:rPr>
          <w:rFonts w:ascii="Arial" w:hAnsi="Arial" w:cs="Arial"/>
        </w:rPr>
      </w:pPr>
    </w:p>
    <w:p w:rsidRPr="000D433D" w:rsidR="00D50326" w:rsidP="00D50326" w:rsidRDefault="00D50326" w14:paraId="554EEB7B" w14:textId="77777777">
      <w:pPr>
        <w:rPr>
          <w:rFonts w:ascii="Arial" w:hAnsi="Arial" w:cs="Arial"/>
        </w:rPr>
      </w:pPr>
      <w:r w:rsidRPr="000D433D">
        <w:rPr>
          <w:rFonts w:ascii="Arial" w:hAnsi="Arial" w:cs="Arial"/>
        </w:rPr>
        <w:t>The study looks at what measures could reduce the rise in core homelessness. The study considers a number of scenarios:</w:t>
      </w:r>
    </w:p>
    <w:p w:rsidR="00D50326" w:rsidP="00D50326" w:rsidRDefault="00D50326" w14:paraId="4FACB289" w14:textId="77777777">
      <w:pPr>
        <w:pStyle w:val="ListParagraph"/>
        <w:rPr>
          <w:rFonts w:ascii="Arial" w:hAnsi="Arial" w:cs="Arial"/>
        </w:rPr>
      </w:pPr>
    </w:p>
    <w:p w:rsidRPr="006F155D" w:rsidR="00D50326" w:rsidP="00616716" w:rsidRDefault="00D50326" w14:paraId="2F4A1E58" w14:textId="77777777">
      <w:pPr>
        <w:pStyle w:val="ListParagraph"/>
        <w:numPr>
          <w:ilvl w:val="0"/>
          <w:numId w:val="27"/>
        </w:numPr>
        <w:rPr>
          <w:rFonts w:ascii="Arial" w:hAnsi="Arial" w:cs="Arial"/>
        </w:rPr>
      </w:pPr>
      <w:r w:rsidRPr="006F155D">
        <w:rPr>
          <w:rFonts w:ascii="Arial" w:hAnsi="Arial" w:cs="Arial"/>
        </w:rPr>
        <w:t>Cessation of welfare reductions</w:t>
      </w:r>
    </w:p>
    <w:p w:rsidRPr="006F155D" w:rsidR="00D50326" w:rsidP="00616716" w:rsidRDefault="00D50326" w14:paraId="497AD103" w14:textId="77777777">
      <w:pPr>
        <w:pStyle w:val="ListParagraph"/>
        <w:numPr>
          <w:ilvl w:val="0"/>
          <w:numId w:val="27"/>
        </w:numPr>
        <w:rPr>
          <w:rFonts w:ascii="Arial" w:hAnsi="Arial" w:cs="Arial"/>
        </w:rPr>
      </w:pPr>
      <w:r w:rsidRPr="006F155D">
        <w:rPr>
          <w:rFonts w:ascii="Arial" w:hAnsi="Arial" w:cs="Arial"/>
        </w:rPr>
        <w:t>Increase in supply of new housing (including affordable, especially in the South of England)</w:t>
      </w:r>
    </w:p>
    <w:p w:rsidRPr="006F155D" w:rsidR="00D50326" w:rsidP="00616716" w:rsidRDefault="00D50326" w14:paraId="07B13F07" w14:textId="77777777">
      <w:pPr>
        <w:pStyle w:val="ListParagraph"/>
        <w:numPr>
          <w:ilvl w:val="0"/>
          <w:numId w:val="27"/>
        </w:numPr>
        <w:rPr>
          <w:rFonts w:ascii="Arial" w:hAnsi="Arial" w:cs="Arial"/>
        </w:rPr>
      </w:pPr>
      <w:r w:rsidRPr="006F155D">
        <w:rPr>
          <w:rFonts w:ascii="Arial" w:hAnsi="Arial" w:cs="Arial"/>
        </w:rPr>
        <w:t>Extensive homelessness prevention activity by local authorities</w:t>
      </w:r>
    </w:p>
    <w:p w:rsidRPr="006F155D" w:rsidR="00D50326" w:rsidP="00616716" w:rsidRDefault="00D50326" w14:paraId="35CBA857" w14:textId="77777777">
      <w:pPr>
        <w:pStyle w:val="ListParagraph"/>
        <w:numPr>
          <w:ilvl w:val="0"/>
          <w:numId w:val="27"/>
        </w:numPr>
        <w:rPr>
          <w:rFonts w:ascii="Arial" w:hAnsi="Arial" w:cs="Arial"/>
        </w:rPr>
      </w:pPr>
      <w:r w:rsidRPr="006F155D">
        <w:rPr>
          <w:rFonts w:ascii="Arial" w:hAnsi="Arial" w:cs="Arial"/>
        </w:rPr>
        <w:t>Regional convergence in economic growth by rebalancing growth in areas outside of London and the South East</w:t>
      </w:r>
    </w:p>
    <w:p w:rsidR="00D50326" w:rsidP="00D50326" w:rsidRDefault="00D50326" w14:paraId="6105DF4E" w14:textId="77777777">
      <w:pPr>
        <w:rPr>
          <w:rFonts w:ascii="Arial" w:hAnsi="Arial" w:cs="Arial"/>
        </w:rPr>
      </w:pPr>
    </w:p>
    <w:p w:rsidR="00D50326" w:rsidP="00D50326" w:rsidRDefault="008E5A87" w14:paraId="39549B0A" w14:textId="77777777">
      <w:pPr>
        <w:rPr>
          <w:rFonts w:ascii="Arial" w:hAnsi="Arial" w:cs="Arial"/>
        </w:rPr>
      </w:pPr>
      <w:r>
        <w:rPr>
          <w:noProof/>
        </w:rPr>
        <w:drawing>
          <wp:inline distT="0" distB="0" distL="0" distR="0" wp14:anchorId="4BDE733A" wp14:editId="2FF763BE">
            <wp:extent cx="5274310" cy="3656029"/>
            <wp:effectExtent l="0" t="0" r="2540" b="1905"/>
            <wp:docPr id="1" name="Picture 1" descr="Graph showing no of homelessness households from 2011 and projecting figures to 2041. &#10;Graph shows overall numbers for Great Britain and split into colour codes regions.&#10;Shows a steady increase in homeless households from appox. 110,000 in 2011 to just under 400,000 in 2041. &#10;Graph produced before Covid outbreak." title="Core Homelessness Components by English Region and Country 20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0908" t="29546" r="31533" b="24169"/>
                    <a:stretch/>
                  </pic:blipFill>
                  <pic:spPr bwMode="auto">
                    <a:xfrm>
                      <a:off x="0" y="0"/>
                      <a:ext cx="5274310" cy="3656029"/>
                    </a:xfrm>
                    <a:prstGeom prst="rect">
                      <a:avLst/>
                    </a:prstGeom>
                    <a:ln>
                      <a:noFill/>
                    </a:ln>
                    <a:extLst>
                      <a:ext uri="{53640926-AAD7-44D8-BBD7-CCE9431645EC}">
                        <a14:shadowObscured xmlns:a14="http://schemas.microsoft.com/office/drawing/2010/main"/>
                      </a:ext>
                    </a:extLst>
                  </pic:spPr>
                </pic:pic>
              </a:graphicData>
            </a:graphic>
          </wp:inline>
        </w:drawing>
      </w:r>
    </w:p>
    <w:p w:rsidRPr="00EA0971" w:rsidR="00EA0971" w:rsidP="00EA0971" w:rsidRDefault="003D39FF" w14:paraId="7DCC9117" w14:textId="77777777">
      <w:pPr>
        <w:autoSpaceDE w:val="0"/>
        <w:autoSpaceDN w:val="0"/>
        <w:adjustRightInd w:val="0"/>
        <w:rPr>
          <w:rFonts w:ascii="Arial" w:hAnsi="Arial" w:cs="Arial"/>
          <w:b/>
          <w:color w:val="414142"/>
        </w:rPr>
      </w:pPr>
      <w:r>
        <w:rPr>
          <w:noProof/>
        </w:rPr>
        <w:drawing>
          <wp:inline distT="0" distB="0" distL="0" distR="0" wp14:anchorId="40BA4A89" wp14:editId="45CA53CB">
            <wp:extent cx="5274310" cy="3426618"/>
            <wp:effectExtent l="0" t="0" r="2540" b="2540"/>
            <wp:docPr id="29" name="Picture 29" descr="Diagram showing&#10;Number of households assessed&#10;Number and % of  households assessed as owed a duty&#10;Main reason for loss of last settled home (top 4)&#10;For Broadland, South Norfolk and Norwich. Also includes East of England average" title="Approaches to Housing Options Services for Assessment under the Homelessness Reduction Act 20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31244" t="22454" r="30407" b="28793"/>
                    <a:stretch/>
                  </pic:blipFill>
                  <pic:spPr bwMode="auto">
                    <a:xfrm>
                      <a:off x="0" y="0"/>
                      <a:ext cx="5274310" cy="3426618"/>
                    </a:xfrm>
                    <a:prstGeom prst="rect">
                      <a:avLst/>
                    </a:prstGeom>
                    <a:ln>
                      <a:noFill/>
                    </a:ln>
                    <a:extLst>
                      <a:ext uri="{53640926-AAD7-44D8-BBD7-CCE9431645EC}">
                        <a14:shadowObscured xmlns:a14="http://schemas.microsoft.com/office/drawing/2010/main"/>
                      </a:ext>
                    </a:extLst>
                  </pic:spPr>
                </pic:pic>
              </a:graphicData>
            </a:graphic>
          </wp:inline>
        </w:drawing>
      </w:r>
    </w:p>
    <w:p w:rsidR="00EF4CBC" w:rsidP="007C4228" w:rsidRDefault="007C4228" w14:paraId="2BE723FB" w14:textId="77777777">
      <w:pPr>
        <w:pStyle w:val="GNHS3"/>
        <w:ind w:left="720" w:hanging="720"/>
      </w:pPr>
      <w:r>
        <w:t>3.22</w:t>
      </w:r>
      <w:r>
        <w:tab/>
      </w:r>
      <w:r w:rsidRPr="007B773C" w:rsidR="00EF4CBC">
        <w:t>Approaches to Housing Options Services</w:t>
      </w:r>
      <w:r w:rsidR="007C1C2E">
        <w:t xml:space="preserve"> for Assessment under the HRA 2017</w:t>
      </w:r>
    </w:p>
    <w:p w:rsidRPr="00E55438" w:rsidR="002F57E6" w:rsidP="002F57E6" w:rsidRDefault="002F57E6" w14:paraId="5D5C1B24" w14:textId="77777777">
      <w:pPr>
        <w:pStyle w:val="ListParagraph"/>
        <w:autoSpaceDE w:val="0"/>
        <w:autoSpaceDN w:val="0"/>
        <w:adjustRightInd w:val="0"/>
        <w:ind w:left="465"/>
        <w:rPr>
          <w:rFonts w:ascii="Arial" w:hAnsi="Arial" w:cs="Arial"/>
          <w:b/>
        </w:rPr>
      </w:pPr>
    </w:p>
    <w:p w:rsidR="00EB1E48" w:rsidP="00FC7FD4" w:rsidRDefault="00EF4CBC" w14:paraId="318A0E71" w14:textId="77777777">
      <w:pPr>
        <w:autoSpaceDE w:val="0"/>
        <w:autoSpaceDN w:val="0"/>
        <w:adjustRightInd w:val="0"/>
        <w:rPr>
          <w:rFonts w:ascii="Arial" w:hAnsi="Arial" w:cs="Arial"/>
        </w:rPr>
      </w:pPr>
      <w:r w:rsidRPr="00EF4CBC">
        <w:rPr>
          <w:rFonts w:ascii="Arial" w:hAnsi="Arial" w:cs="Arial"/>
        </w:rPr>
        <w:t>The</w:t>
      </w:r>
      <w:r w:rsidR="008E66CE">
        <w:rPr>
          <w:rFonts w:ascii="Arial" w:hAnsi="Arial" w:cs="Arial"/>
        </w:rPr>
        <w:t xml:space="preserve"> above</w:t>
      </w:r>
      <w:r w:rsidRPr="00EF4CBC">
        <w:rPr>
          <w:rFonts w:ascii="Arial" w:hAnsi="Arial" w:cs="Arial"/>
        </w:rPr>
        <w:t xml:space="preserve"> diagram below shows the number of approaches to our Housing Options teams by households in 2018/19 by households stating that they are homeless or threatened with homelessness.</w:t>
      </w:r>
    </w:p>
    <w:p w:rsidR="008E66CE" w:rsidP="00FC7FD4" w:rsidRDefault="008E66CE" w14:paraId="1858E124" w14:textId="77777777">
      <w:pPr>
        <w:autoSpaceDE w:val="0"/>
        <w:autoSpaceDN w:val="0"/>
        <w:adjustRightInd w:val="0"/>
        <w:rPr>
          <w:rFonts w:ascii="Arial" w:hAnsi="Arial" w:cs="Arial"/>
        </w:rPr>
      </w:pPr>
    </w:p>
    <w:p w:rsidRPr="00D50326" w:rsidR="00B6279D" w:rsidP="001674BF" w:rsidRDefault="001674BF" w14:paraId="24C1DE9F" w14:textId="77777777">
      <w:pPr>
        <w:pStyle w:val="ListParagraph"/>
        <w:autoSpaceDE w:val="0"/>
        <w:autoSpaceDN w:val="0"/>
        <w:adjustRightInd w:val="0"/>
        <w:ind w:left="0"/>
        <w:rPr>
          <w:rFonts w:ascii="Arial" w:hAnsi="Arial" w:cs="Arial"/>
        </w:rPr>
      </w:pPr>
      <w:r w:rsidRPr="00D50326">
        <w:rPr>
          <w:rFonts w:ascii="Arial" w:hAnsi="Arial" w:cs="Arial"/>
        </w:rPr>
        <w:t xml:space="preserve">The statistics show that there were 2,190 households accessing the housing options teams </w:t>
      </w:r>
      <w:r w:rsidR="00A1306A">
        <w:rPr>
          <w:rFonts w:ascii="Arial" w:hAnsi="Arial" w:cs="Arial"/>
        </w:rPr>
        <w:t>in G</w:t>
      </w:r>
      <w:r w:rsidRPr="00D50326" w:rsidR="00CF660B">
        <w:rPr>
          <w:rFonts w:ascii="Arial" w:hAnsi="Arial" w:cs="Arial"/>
        </w:rPr>
        <w:t>reater</w:t>
      </w:r>
      <w:r w:rsidRPr="00D50326">
        <w:rPr>
          <w:rFonts w:ascii="Arial" w:hAnsi="Arial" w:cs="Arial"/>
        </w:rPr>
        <w:t xml:space="preserve"> Norwich</w:t>
      </w:r>
      <w:r w:rsidRPr="00D50326" w:rsidR="00B6279D">
        <w:rPr>
          <w:rFonts w:ascii="Arial" w:hAnsi="Arial" w:cs="Arial"/>
        </w:rPr>
        <w:t>,</w:t>
      </w:r>
      <w:r w:rsidRPr="00D50326">
        <w:rPr>
          <w:rFonts w:ascii="Arial" w:hAnsi="Arial" w:cs="Arial"/>
        </w:rPr>
        <w:t xml:space="preserve"> of these 82% were assessed as owed a </w:t>
      </w:r>
      <w:r w:rsidRPr="00D50326">
        <w:rPr>
          <w:rFonts w:ascii="Arial" w:hAnsi="Arial" w:cs="Arial"/>
        </w:rPr>
        <w:lastRenderedPageBreak/>
        <w:t>duty.</w:t>
      </w:r>
      <w:r w:rsidRPr="00D50326" w:rsidR="0050018B">
        <w:rPr>
          <w:rFonts w:ascii="Arial" w:hAnsi="Arial" w:cs="Arial"/>
        </w:rPr>
        <w:t xml:space="preserve"> The main reason for loss of settled home in two of the </w:t>
      </w:r>
      <w:r w:rsidRPr="00D50326" w:rsidR="0095587C">
        <w:rPr>
          <w:rFonts w:ascii="Arial" w:hAnsi="Arial" w:cs="Arial"/>
        </w:rPr>
        <w:t>three</w:t>
      </w:r>
      <w:r w:rsidRPr="00D50326" w:rsidR="0050018B">
        <w:rPr>
          <w:rFonts w:ascii="Arial" w:hAnsi="Arial" w:cs="Arial"/>
        </w:rPr>
        <w:t xml:space="preserve"> districts was end of a private sector tenancy.</w:t>
      </w:r>
      <w:r w:rsidRPr="00D50326" w:rsidR="00B6279D">
        <w:rPr>
          <w:rFonts w:ascii="Arial" w:hAnsi="Arial" w:cs="Arial"/>
        </w:rPr>
        <w:t xml:space="preserve"> In </w:t>
      </w:r>
      <w:r w:rsidRPr="00D50326" w:rsidR="007F05E3">
        <w:rPr>
          <w:rFonts w:ascii="Arial" w:hAnsi="Arial" w:cs="Arial"/>
        </w:rPr>
        <w:t>Norwich,</w:t>
      </w:r>
      <w:r w:rsidRPr="00D50326" w:rsidR="00B6279D">
        <w:rPr>
          <w:rFonts w:ascii="Arial" w:hAnsi="Arial" w:cs="Arial"/>
        </w:rPr>
        <w:t xml:space="preserve"> this reason was the third highest for a household losing their last settled home. It is likely that due to the experimental nature</w:t>
      </w:r>
      <w:r w:rsidR="00A1306A">
        <w:rPr>
          <w:rFonts w:ascii="Arial" w:hAnsi="Arial" w:cs="Arial"/>
        </w:rPr>
        <w:t xml:space="preserve"> of the analysis</w:t>
      </w:r>
      <w:r w:rsidR="00DD6487">
        <w:rPr>
          <w:rFonts w:ascii="Arial" w:hAnsi="Arial" w:cs="Arial"/>
        </w:rPr>
        <w:t>,</w:t>
      </w:r>
      <w:r w:rsidRPr="00D50326" w:rsidR="00B6279D">
        <w:rPr>
          <w:rFonts w:ascii="Arial" w:hAnsi="Arial" w:cs="Arial"/>
        </w:rPr>
        <w:t xml:space="preserve"> </w:t>
      </w:r>
      <w:r w:rsidRPr="00D50326" w:rsidR="00CF660B">
        <w:rPr>
          <w:rFonts w:ascii="Arial" w:hAnsi="Arial" w:cs="Arial"/>
        </w:rPr>
        <w:t>and the</w:t>
      </w:r>
      <w:r w:rsidR="00DD6487">
        <w:rPr>
          <w:rFonts w:ascii="Arial" w:hAnsi="Arial" w:cs="Arial"/>
        </w:rPr>
        <w:t xml:space="preserve"> high number of </w:t>
      </w:r>
      <w:r w:rsidR="00A1306A">
        <w:rPr>
          <w:rFonts w:ascii="Arial" w:hAnsi="Arial" w:cs="Arial"/>
        </w:rPr>
        <w:t>‘</w:t>
      </w:r>
      <w:r w:rsidR="00DD6487">
        <w:rPr>
          <w:rFonts w:ascii="Arial" w:hAnsi="Arial" w:cs="Arial"/>
        </w:rPr>
        <w:t>others</w:t>
      </w:r>
      <w:r w:rsidR="00A1306A">
        <w:rPr>
          <w:rFonts w:ascii="Arial" w:hAnsi="Arial" w:cs="Arial"/>
        </w:rPr>
        <w:t>’ recorded</w:t>
      </w:r>
      <w:r w:rsidRPr="00D50326" w:rsidR="00B6279D">
        <w:rPr>
          <w:rFonts w:ascii="Arial" w:hAnsi="Arial" w:cs="Arial"/>
        </w:rPr>
        <w:t xml:space="preserve"> that this was the main reason for loss of last settled home in Norwich</w:t>
      </w:r>
      <w:r w:rsidRPr="00D50326" w:rsidR="00CF660B">
        <w:rPr>
          <w:rFonts w:ascii="Arial" w:hAnsi="Arial" w:cs="Arial"/>
        </w:rPr>
        <w:t xml:space="preserve"> as well.</w:t>
      </w:r>
      <w:r w:rsidRPr="00D50326" w:rsidR="00B6279D">
        <w:rPr>
          <w:rFonts w:ascii="Arial" w:hAnsi="Arial" w:cs="Arial"/>
        </w:rPr>
        <w:t xml:space="preserve"> The following statistics perhaps provide a clearer indication of the type of tenure households were in at the time of their application:</w:t>
      </w:r>
    </w:p>
    <w:p w:rsidRPr="00D50326" w:rsidR="00FC7FD4" w:rsidP="001674BF" w:rsidRDefault="00FC7FD4" w14:paraId="3C864A9C" w14:textId="77777777">
      <w:pPr>
        <w:pStyle w:val="ListParagraph"/>
        <w:autoSpaceDE w:val="0"/>
        <w:autoSpaceDN w:val="0"/>
        <w:adjustRightInd w:val="0"/>
        <w:ind w:left="0"/>
        <w:rPr>
          <w:rFonts w:ascii="Arial" w:hAnsi="Arial" w:cs="Arial"/>
        </w:rPr>
      </w:pPr>
      <w:r>
        <w:rPr>
          <w:noProof/>
        </w:rPr>
        <w:drawing>
          <wp:inline distT="0" distB="0" distL="0" distR="0" wp14:anchorId="7DFD6D68" wp14:editId="7E5B26BD">
            <wp:extent cx="5953125" cy="1590675"/>
            <wp:effectExtent l="0" t="0" r="9525" b="9525"/>
            <wp:docPr id="30" name="Picture 30" descr="Broadland&#10;1. Private rented&#10;2. Living with family&#10;3. Other&#10;Norwich&#10;1. Private rented&#10;2. No fixed abode&#10;3. Living with family&#10;South Norfolk&#10;1. Private rented&#10;2. Living with family&#10;3. No fixed abode" title="Tenure type of households at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25926" t="60272" r="37333" b="24605"/>
                    <a:stretch/>
                  </pic:blipFill>
                  <pic:spPr bwMode="auto">
                    <a:xfrm>
                      <a:off x="0" y="0"/>
                      <a:ext cx="5953125" cy="1590675"/>
                    </a:xfrm>
                    <a:prstGeom prst="rect">
                      <a:avLst/>
                    </a:prstGeom>
                    <a:ln>
                      <a:noFill/>
                    </a:ln>
                    <a:extLst>
                      <a:ext uri="{53640926-AAD7-44D8-BBD7-CCE9431645EC}">
                        <a14:shadowObscured xmlns:a14="http://schemas.microsoft.com/office/drawing/2010/main"/>
                      </a:ext>
                    </a:extLst>
                  </pic:spPr>
                </pic:pic>
              </a:graphicData>
            </a:graphic>
          </wp:inline>
        </w:drawing>
      </w:r>
    </w:p>
    <w:p w:rsidR="006C0F58" w:rsidP="001674BF" w:rsidRDefault="006C0F58" w14:paraId="06E91C24" w14:textId="77777777">
      <w:pPr>
        <w:pStyle w:val="ListParagraph"/>
        <w:autoSpaceDE w:val="0"/>
        <w:autoSpaceDN w:val="0"/>
        <w:adjustRightInd w:val="0"/>
        <w:ind w:left="0"/>
        <w:rPr>
          <w:rFonts w:ascii="Arial" w:hAnsi="Arial" w:cs="Arial"/>
          <w:color w:val="414142"/>
        </w:rPr>
      </w:pPr>
    </w:p>
    <w:p w:rsidR="00B6279D" w:rsidP="00D55C46" w:rsidRDefault="00B6279D" w14:paraId="37E93FE9" w14:textId="77777777">
      <w:pPr>
        <w:rPr>
          <w:rFonts w:ascii="Arial" w:hAnsi="Arial" w:cs="Arial"/>
          <w:b/>
          <w:color w:val="F2F2F2" w:themeColor="background1" w:themeShade="F2"/>
          <w:sz w:val="16"/>
          <w:szCs w:val="16"/>
        </w:rPr>
      </w:pPr>
    </w:p>
    <w:p w:rsidRPr="00FC7FD4" w:rsidR="000618E7" w:rsidP="00FC7FD4" w:rsidRDefault="007A26B7" w14:paraId="0A459548" w14:textId="77777777">
      <w:pPr>
        <w:rPr>
          <w:rFonts w:ascii="Arial" w:hAnsi="Arial" w:cs="Arial"/>
          <w:b/>
          <w:color w:val="F2F2F2" w:themeColor="background1" w:themeShade="F2"/>
          <w:sz w:val="16"/>
          <w:szCs w:val="16"/>
        </w:rPr>
      </w:pPr>
      <w:r w:rsidRPr="00FC7FD4">
        <w:rPr>
          <w:rFonts w:ascii="Arial" w:hAnsi="Arial" w:cs="Arial"/>
        </w:rPr>
        <w:t>In common with the Eastern region</w:t>
      </w:r>
      <w:r w:rsidRPr="00FC7FD4" w:rsidR="004465EC">
        <w:rPr>
          <w:rFonts w:ascii="Arial" w:hAnsi="Arial" w:cs="Arial"/>
        </w:rPr>
        <w:t>,</w:t>
      </w:r>
      <w:r w:rsidRPr="00FC7FD4">
        <w:rPr>
          <w:rFonts w:ascii="Arial" w:hAnsi="Arial" w:cs="Arial"/>
        </w:rPr>
        <w:t xml:space="preserve"> private rented is the tenure that most people are living in when approaching their housing options team </w:t>
      </w:r>
      <w:r w:rsidRPr="00FC7FD4" w:rsidR="00883910">
        <w:rPr>
          <w:rFonts w:ascii="Arial" w:hAnsi="Arial" w:cs="Arial"/>
        </w:rPr>
        <w:t xml:space="preserve">for </w:t>
      </w:r>
      <w:r w:rsidRPr="00FC7FD4">
        <w:rPr>
          <w:rFonts w:ascii="Arial" w:hAnsi="Arial" w:cs="Arial"/>
        </w:rPr>
        <w:t xml:space="preserve">help with their </w:t>
      </w:r>
      <w:r w:rsidRPr="00FC7FD4" w:rsidR="00A87384">
        <w:rPr>
          <w:rFonts w:ascii="Arial" w:hAnsi="Arial" w:cs="Arial"/>
        </w:rPr>
        <w:t>housing situation. Living with f</w:t>
      </w:r>
      <w:r w:rsidRPr="00FC7FD4">
        <w:rPr>
          <w:rFonts w:ascii="Arial" w:hAnsi="Arial" w:cs="Arial"/>
        </w:rPr>
        <w:t>amily is in the top t</w:t>
      </w:r>
      <w:r w:rsidRPr="00FC7FD4" w:rsidR="00A87384">
        <w:rPr>
          <w:rFonts w:ascii="Arial" w:hAnsi="Arial" w:cs="Arial"/>
        </w:rPr>
        <w:t xml:space="preserve">hree </w:t>
      </w:r>
      <w:r w:rsidRPr="00FC7FD4" w:rsidR="00A1306A">
        <w:rPr>
          <w:rFonts w:ascii="Arial" w:hAnsi="Arial" w:cs="Arial"/>
        </w:rPr>
        <w:t xml:space="preserve">most common tenures </w:t>
      </w:r>
      <w:r w:rsidRPr="00FC7FD4" w:rsidR="00A87384">
        <w:rPr>
          <w:rFonts w:ascii="Arial" w:hAnsi="Arial" w:cs="Arial"/>
        </w:rPr>
        <w:t>of the Eastern region and G</w:t>
      </w:r>
      <w:r w:rsidRPr="00FC7FD4" w:rsidR="00A1306A">
        <w:rPr>
          <w:rFonts w:ascii="Arial" w:hAnsi="Arial" w:cs="Arial"/>
        </w:rPr>
        <w:t>reater Norwich areas, perhaps reflecting</w:t>
      </w:r>
      <w:r w:rsidRPr="00FC7FD4">
        <w:rPr>
          <w:rFonts w:ascii="Arial" w:hAnsi="Arial" w:cs="Arial"/>
        </w:rPr>
        <w:t xml:space="preserve"> the younger cohort of people who face family eviction from their parents. No fixed abode is recorded in the top three of both Norwich and South Norfolk and is likely to include people in</w:t>
      </w:r>
      <w:r w:rsidRPr="00FC7FD4" w:rsidR="00883910">
        <w:rPr>
          <w:rFonts w:ascii="Arial" w:hAnsi="Arial" w:cs="Arial"/>
        </w:rPr>
        <w:t xml:space="preserve"> very temporary</w:t>
      </w:r>
      <w:r w:rsidRPr="00FC7FD4" w:rsidR="00A1306A">
        <w:rPr>
          <w:rFonts w:ascii="Arial" w:hAnsi="Arial" w:cs="Arial"/>
        </w:rPr>
        <w:t xml:space="preserve"> housing such as</w:t>
      </w:r>
      <w:r w:rsidRPr="00FC7FD4">
        <w:rPr>
          <w:rFonts w:ascii="Arial" w:hAnsi="Arial" w:cs="Arial"/>
        </w:rPr>
        <w:t xml:space="preserve"> sofa surfing.</w:t>
      </w:r>
      <w:r w:rsidRPr="00FC7FD4" w:rsidR="004465EC">
        <w:rPr>
          <w:rFonts w:ascii="Arial" w:hAnsi="Arial" w:cs="Arial"/>
        </w:rPr>
        <w:t xml:space="preserve"> In the</w:t>
      </w:r>
      <w:r w:rsidRPr="00FC7FD4" w:rsidR="00A1306A">
        <w:rPr>
          <w:rFonts w:ascii="Arial" w:hAnsi="Arial" w:cs="Arial"/>
        </w:rPr>
        <w:t xml:space="preserve"> East this is the fourth most common</w:t>
      </w:r>
      <w:r w:rsidRPr="00FC7FD4" w:rsidR="004465EC">
        <w:rPr>
          <w:rFonts w:ascii="Arial" w:hAnsi="Arial" w:cs="Arial"/>
        </w:rPr>
        <w:t xml:space="preserve"> type of accommodation so it would suggest</w:t>
      </w:r>
      <w:r w:rsidRPr="00FC7FD4" w:rsidR="00AC0298">
        <w:rPr>
          <w:rFonts w:ascii="Arial" w:hAnsi="Arial" w:cs="Arial"/>
        </w:rPr>
        <w:t xml:space="preserve"> that</w:t>
      </w:r>
      <w:r w:rsidRPr="00FC7FD4" w:rsidR="004465EC">
        <w:rPr>
          <w:rFonts w:ascii="Arial" w:hAnsi="Arial" w:cs="Arial"/>
        </w:rPr>
        <w:t xml:space="preserve"> both Norwich and South Norfolk are not that dissimilar. </w:t>
      </w:r>
    </w:p>
    <w:p w:rsidRPr="00D50326" w:rsidR="007F05E3" w:rsidP="002D054A" w:rsidRDefault="007F05E3" w14:paraId="2A7C9126" w14:textId="77777777">
      <w:pPr>
        <w:pStyle w:val="ListParagraph"/>
        <w:autoSpaceDE w:val="0"/>
        <w:autoSpaceDN w:val="0"/>
        <w:adjustRightInd w:val="0"/>
        <w:ind w:left="0"/>
        <w:rPr>
          <w:rFonts w:ascii="Arial" w:hAnsi="Arial" w:cs="Arial"/>
        </w:rPr>
      </w:pPr>
    </w:p>
    <w:p w:rsidRPr="00D50326" w:rsidR="007F05E3" w:rsidP="007F05E3" w:rsidRDefault="007F05E3" w14:paraId="07D915CE" w14:textId="77777777">
      <w:pPr>
        <w:pStyle w:val="ListParagraph"/>
        <w:autoSpaceDE w:val="0"/>
        <w:autoSpaceDN w:val="0"/>
        <w:adjustRightInd w:val="0"/>
        <w:ind w:left="0"/>
        <w:rPr>
          <w:rFonts w:ascii="Arial" w:hAnsi="Arial" w:cs="Arial"/>
        </w:rPr>
      </w:pPr>
      <w:r w:rsidRPr="00D50326">
        <w:rPr>
          <w:rFonts w:ascii="Arial" w:hAnsi="Arial" w:cs="Arial"/>
        </w:rPr>
        <w:t>Our approach in Greater Norwich is to try to prevent homelessness before it happens and ideally, persons at risk of homelessness will seek help</w:t>
      </w:r>
      <w:r w:rsidRPr="00D50326" w:rsidR="00DA1C8B">
        <w:rPr>
          <w:rFonts w:ascii="Arial" w:hAnsi="Arial" w:cs="Arial"/>
        </w:rPr>
        <w:t xml:space="preserve"> before they become homeless and will work wit</w:t>
      </w:r>
      <w:r w:rsidR="00A87384">
        <w:rPr>
          <w:rFonts w:ascii="Arial" w:hAnsi="Arial" w:cs="Arial"/>
        </w:rPr>
        <w:t>h every individual producing a Personalised Housing P</w:t>
      </w:r>
      <w:r w:rsidRPr="00D50326" w:rsidR="00DA1C8B">
        <w:rPr>
          <w:rFonts w:ascii="Arial" w:hAnsi="Arial" w:cs="Arial"/>
        </w:rPr>
        <w:t>lan</w:t>
      </w:r>
      <w:r w:rsidR="00A87384">
        <w:rPr>
          <w:rFonts w:ascii="Arial" w:hAnsi="Arial" w:cs="Arial"/>
        </w:rPr>
        <w:t xml:space="preserve"> (PHP)</w:t>
      </w:r>
      <w:r w:rsidRPr="00D50326" w:rsidR="00DA1C8B">
        <w:rPr>
          <w:rFonts w:ascii="Arial" w:hAnsi="Arial" w:cs="Arial"/>
        </w:rPr>
        <w:t xml:space="preserve">. </w:t>
      </w:r>
      <w:r w:rsidRPr="00D50326">
        <w:rPr>
          <w:rFonts w:ascii="Arial" w:hAnsi="Arial" w:cs="Arial"/>
        </w:rPr>
        <w:t xml:space="preserve">The following </w:t>
      </w:r>
      <w:r w:rsidRPr="00D50326" w:rsidR="00DA1C8B">
        <w:rPr>
          <w:rFonts w:ascii="Arial" w:hAnsi="Arial" w:cs="Arial"/>
        </w:rPr>
        <w:t>table</w:t>
      </w:r>
      <w:r w:rsidR="00AA7846">
        <w:rPr>
          <w:rFonts w:ascii="Arial" w:hAnsi="Arial" w:cs="Arial"/>
        </w:rPr>
        <w:t xml:space="preserve"> shows the number of households assessed as either prevention or relief</w:t>
      </w:r>
      <w:r w:rsidRPr="00D50326" w:rsidR="00DA1C8B">
        <w:rPr>
          <w:rFonts w:ascii="Arial" w:hAnsi="Arial" w:cs="Arial"/>
        </w:rPr>
        <w:t>.</w:t>
      </w:r>
    </w:p>
    <w:p w:rsidRPr="00D50326" w:rsidR="007F05E3" w:rsidP="002D054A" w:rsidRDefault="007F05E3" w14:paraId="2E263FC0" w14:textId="77777777">
      <w:pPr>
        <w:pStyle w:val="ListParagraph"/>
        <w:autoSpaceDE w:val="0"/>
        <w:autoSpaceDN w:val="0"/>
        <w:adjustRightInd w:val="0"/>
        <w:ind w:left="0"/>
        <w:rPr>
          <w:rFonts w:ascii="Arial" w:hAnsi="Arial" w:cs="Arial"/>
        </w:rPr>
      </w:pPr>
    </w:p>
    <w:p w:rsidRPr="00D50326" w:rsidR="00F916D3" w:rsidP="002D054A" w:rsidRDefault="00F916D3" w14:paraId="0C688045" w14:textId="77777777">
      <w:pPr>
        <w:pStyle w:val="ListParagraph"/>
        <w:autoSpaceDE w:val="0"/>
        <w:autoSpaceDN w:val="0"/>
        <w:adjustRightInd w:val="0"/>
        <w:ind w:left="0"/>
        <w:rPr>
          <w:rFonts w:ascii="Arial" w:hAnsi="Arial" w:cs="Arial"/>
        </w:rPr>
      </w:pPr>
    </w:p>
    <w:tbl>
      <w:tblPr>
        <w:tblStyle w:val="TableGrid"/>
        <w:tblW w:w="7508" w:type="dxa"/>
        <w:tblLayout w:type="fixed"/>
        <w:tblLook w:val="04A0" w:firstRow="1" w:lastRow="0" w:firstColumn="1" w:lastColumn="0" w:noHBand="0" w:noVBand="1"/>
        <w:tblCaption w:val="Number of households prevention or relief"/>
        <w:tblDescription w:val="Table showing number and % of households assessed under a prevention or relief duty."/>
      </w:tblPr>
      <w:tblGrid>
        <w:gridCol w:w="1555"/>
        <w:gridCol w:w="708"/>
        <w:gridCol w:w="709"/>
        <w:gridCol w:w="851"/>
        <w:gridCol w:w="708"/>
        <w:gridCol w:w="851"/>
        <w:gridCol w:w="850"/>
        <w:gridCol w:w="1276"/>
      </w:tblGrid>
      <w:tr w:rsidRPr="00D50326" w:rsidR="00D50326" w:rsidTr="007A2718" w14:paraId="11123435" w14:textId="77777777">
        <w:trPr>
          <w:cantSplit/>
          <w:trHeight w:val="417"/>
          <w:tblHeader/>
        </w:trPr>
        <w:tc>
          <w:tcPr>
            <w:tcW w:w="1555" w:type="dxa"/>
            <w:vMerge w:val="restart"/>
            <w:shd w:val="clear" w:color="auto" w:fill="F2F2F2" w:themeFill="background1" w:themeFillShade="F2"/>
          </w:tcPr>
          <w:p w:rsidRPr="00D50326" w:rsidR="00DA1C8B" w:rsidP="00E770F1" w:rsidRDefault="00DA1C8B" w14:paraId="200D908A" w14:textId="77777777">
            <w:pPr>
              <w:pStyle w:val="ListParagraph"/>
              <w:autoSpaceDE w:val="0"/>
              <w:autoSpaceDN w:val="0"/>
              <w:adjustRightInd w:val="0"/>
              <w:ind w:left="0"/>
              <w:rPr>
                <w:rFonts w:ascii="Arial" w:hAnsi="Arial" w:cs="Arial"/>
              </w:rPr>
            </w:pPr>
          </w:p>
        </w:tc>
        <w:tc>
          <w:tcPr>
            <w:tcW w:w="1417" w:type="dxa"/>
            <w:gridSpan w:val="2"/>
            <w:shd w:val="clear" w:color="auto" w:fill="F2F2F2" w:themeFill="background1" w:themeFillShade="F2"/>
          </w:tcPr>
          <w:p w:rsidRPr="008E66CE" w:rsidR="00DA1C8B" w:rsidP="00E770F1" w:rsidRDefault="00DA1C8B" w14:paraId="436EBDD2" w14:textId="77777777">
            <w:pPr>
              <w:pStyle w:val="ListParagraph"/>
              <w:autoSpaceDE w:val="0"/>
              <w:autoSpaceDN w:val="0"/>
              <w:adjustRightInd w:val="0"/>
              <w:ind w:left="0"/>
              <w:jc w:val="center"/>
              <w:rPr>
                <w:rFonts w:ascii="Arial" w:hAnsi="Arial" w:cs="Arial"/>
                <w:b/>
              </w:rPr>
            </w:pPr>
            <w:r w:rsidRPr="008E66CE">
              <w:rPr>
                <w:rFonts w:ascii="Arial" w:hAnsi="Arial" w:cs="Arial"/>
                <w:b/>
              </w:rPr>
              <w:t>Broadland</w:t>
            </w:r>
          </w:p>
        </w:tc>
        <w:tc>
          <w:tcPr>
            <w:tcW w:w="1559" w:type="dxa"/>
            <w:gridSpan w:val="2"/>
            <w:shd w:val="clear" w:color="auto" w:fill="F2F2F2" w:themeFill="background1" w:themeFillShade="F2"/>
          </w:tcPr>
          <w:p w:rsidRPr="008E66CE" w:rsidR="00DA1C8B" w:rsidP="00E770F1" w:rsidRDefault="00DA1C8B" w14:paraId="0A750A44" w14:textId="77777777">
            <w:pPr>
              <w:pStyle w:val="ListParagraph"/>
              <w:autoSpaceDE w:val="0"/>
              <w:autoSpaceDN w:val="0"/>
              <w:adjustRightInd w:val="0"/>
              <w:ind w:left="0"/>
              <w:jc w:val="center"/>
              <w:rPr>
                <w:rFonts w:ascii="Arial" w:hAnsi="Arial" w:cs="Arial"/>
                <w:b/>
              </w:rPr>
            </w:pPr>
            <w:r w:rsidRPr="008E66CE">
              <w:rPr>
                <w:rFonts w:ascii="Arial" w:hAnsi="Arial" w:cs="Arial"/>
                <w:b/>
              </w:rPr>
              <w:t>Norwich</w:t>
            </w:r>
          </w:p>
        </w:tc>
        <w:tc>
          <w:tcPr>
            <w:tcW w:w="1701" w:type="dxa"/>
            <w:gridSpan w:val="2"/>
            <w:shd w:val="clear" w:color="auto" w:fill="F2F2F2" w:themeFill="background1" w:themeFillShade="F2"/>
          </w:tcPr>
          <w:p w:rsidRPr="008E66CE" w:rsidR="00DA1C8B" w:rsidP="00E770F1" w:rsidRDefault="00DA1C8B" w14:paraId="47179889" w14:textId="77777777">
            <w:pPr>
              <w:pStyle w:val="ListParagraph"/>
              <w:autoSpaceDE w:val="0"/>
              <w:autoSpaceDN w:val="0"/>
              <w:adjustRightInd w:val="0"/>
              <w:ind w:left="0"/>
              <w:jc w:val="center"/>
              <w:rPr>
                <w:rFonts w:ascii="Arial" w:hAnsi="Arial" w:cs="Arial"/>
                <w:b/>
              </w:rPr>
            </w:pPr>
            <w:r w:rsidRPr="008E66CE">
              <w:rPr>
                <w:rFonts w:ascii="Arial" w:hAnsi="Arial" w:cs="Arial"/>
                <w:b/>
              </w:rPr>
              <w:t>South Norfolk</w:t>
            </w:r>
          </w:p>
        </w:tc>
        <w:tc>
          <w:tcPr>
            <w:tcW w:w="1276" w:type="dxa"/>
            <w:shd w:val="clear" w:color="auto" w:fill="F2F2F2" w:themeFill="background1" w:themeFillShade="F2"/>
          </w:tcPr>
          <w:p w:rsidRPr="008E66CE" w:rsidR="00DA1C8B" w:rsidP="00E770F1" w:rsidRDefault="00DA1C8B" w14:paraId="6F43A4B2" w14:textId="77777777">
            <w:pPr>
              <w:pStyle w:val="ListParagraph"/>
              <w:autoSpaceDE w:val="0"/>
              <w:autoSpaceDN w:val="0"/>
              <w:adjustRightInd w:val="0"/>
              <w:ind w:left="0"/>
              <w:jc w:val="center"/>
              <w:rPr>
                <w:rFonts w:ascii="Arial" w:hAnsi="Arial" w:cs="Arial"/>
                <w:b/>
              </w:rPr>
            </w:pPr>
            <w:r w:rsidRPr="008E66CE">
              <w:rPr>
                <w:rFonts w:ascii="Arial" w:hAnsi="Arial" w:cs="Arial"/>
                <w:b/>
              </w:rPr>
              <w:t>East</w:t>
            </w:r>
          </w:p>
        </w:tc>
      </w:tr>
      <w:tr w:rsidRPr="00D50326" w:rsidR="00D50326" w:rsidTr="007A2718" w14:paraId="1678B3FA" w14:textId="77777777">
        <w:trPr>
          <w:cantSplit/>
          <w:trHeight w:val="401"/>
          <w:tblHeader/>
        </w:trPr>
        <w:tc>
          <w:tcPr>
            <w:tcW w:w="1555" w:type="dxa"/>
            <w:vMerge/>
            <w:shd w:val="clear" w:color="auto" w:fill="F2F2F2" w:themeFill="background1" w:themeFillShade="F2"/>
          </w:tcPr>
          <w:p w:rsidRPr="00D50326" w:rsidR="00DA1C8B" w:rsidP="00E770F1" w:rsidRDefault="00DA1C8B" w14:paraId="02698C55" w14:textId="77777777">
            <w:pPr>
              <w:pStyle w:val="ListParagraph"/>
              <w:autoSpaceDE w:val="0"/>
              <w:autoSpaceDN w:val="0"/>
              <w:adjustRightInd w:val="0"/>
              <w:ind w:left="0"/>
              <w:rPr>
                <w:rFonts w:ascii="Arial" w:hAnsi="Arial" w:cs="Arial"/>
              </w:rPr>
            </w:pPr>
          </w:p>
        </w:tc>
        <w:tc>
          <w:tcPr>
            <w:tcW w:w="708" w:type="dxa"/>
          </w:tcPr>
          <w:p w:rsidRPr="00D50326" w:rsidR="00DA1C8B" w:rsidP="00E770F1" w:rsidRDefault="00DA1C8B" w14:paraId="26393966" w14:textId="77777777">
            <w:pPr>
              <w:pStyle w:val="ListParagraph"/>
              <w:autoSpaceDE w:val="0"/>
              <w:autoSpaceDN w:val="0"/>
              <w:adjustRightInd w:val="0"/>
              <w:ind w:left="0"/>
              <w:rPr>
                <w:rFonts w:ascii="Arial" w:hAnsi="Arial" w:cs="Arial"/>
              </w:rPr>
            </w:pPr>
            <w:r w:rsidRPr="00D50326">
              <w:rPr>
                <w:rFonts w:ascii="Arial" w:hAnsi="Arial" w:cs="Arial"/>
              </w:rPr>
              <w:t>Nos</w:t>
            </w:r>
          </w:p>
        </w:tc>
        <w:tc>
          <w:tcPr>
            <w:tcW w:w="709" w:type="dxa"/>
          </w:tcPr>
          <w:p w:rsidRPr="00D50326" w:rsidR="00DA1C8B" w:rsidP="00E770F1" w:rsidRDefault="00DA1C8B" w14:paraId="7C5BD173" w14:textId="77777777">
            <w:pPr>
              <w:pStyle w:val="ListParagraph"/>
              <w:autoSpaceDE w:val="0"/>
              <w:autoSpaceDN w:val="0"/>
              <w:adjustRightInd w:val="0"/>
              <w:ind w:left="0"/>
              <w:rPr>
                <w:rFonts w:ascii="Arial" w:hAnsi="Arial" w:cs="Arial"/>
              </w:rPr>
            </w:pPr>
            <w:r w:rsidRPr="00D50326">
              <w:rPr>
                <w:rFonts w:ascii="Arial" w:hAnsi="Arial" w:cs="Arial"/>
              </w:rPr>
              <w:t>%</w:t>
            </w:r>
          </w:p>
        </w:tc>
        <w:tc>
          <w:tcPr>
            <w:tcW w:w="851" w:type="dxa"/>
          </w:tcPr>
          <w:p w:rsidRPr="00D50326" w:rsidR="00DA1C8B" w:rsidP="00E770F1" w:rsidRDefault="00DA1C8B" w14:paraId="697F1FFC" w14:textId="77777777">
            <w:pPr>
              <w:pStyle w:val="ListParagraph"/>
              <w:autoSpaceDE w:val="0"/>
              <w:autoSpaceDN w:val="0"/>
              <w:adjustRightInd w:val="0"/>
              <w:ind w:left="0"/>
              <w:rPr>
                <w:rFonts w:ascii="Arial" w:hAnsi="Arial" w:cs="Arial"/>
              </w:rPr>
            </w:pPr>
            <w:r w:rsidRPr="00D50326">
              <w:rPr>
                <w:rFonts w:ascii="Arial" w:hAnsi="Arial" w:cs="Arial"/>
              </w:rPr>
              <w:t>Nos</w:t>
            </w:r>
          </w:p>
        </w:tc>
        <w:tc>
          <w:tcPr>
            <w:tcW w:w="708" w:type="dxa"/>
          </w:tcPr>
          <w:p w:rsidRPr="00D50326" w:rsidR="00DA1C8B" w:rsidP="00E770F1" w:rsidRDefault="00DA1C8B" w14:paraId="4CFB0673" w14:textId="77777777">
            <w:pPr>
              <w:pStyle w:val="ListParagraph"/>
              <w:autoSpaceDE w:val="0"/>
              <w:autoSpaceDN w:val="0"/>
              <w:adjustRightInd w:val="0"/>
              <w:ind w:left="0"/>
              <w:rPr>
                <w:rFonts w:ascii="Arial" w:hAnsi="Arial" w:cs="Arial"/>
              </w:rPr>
            </w:pPr>
            <w:r w:rsidRPr="00D50326">
              <w:rPr>
                <w:rFonts w:ascii="Arial" w:hAnsi="Arial" w:cs="Arial"/>
              </w:rPr>
              <w:t>%</w:t>
            </w:r>
          </w:p>
        </w:tc>
        <w:tc>
          <w:tcPr>
            <w:tcW w:w="851" w:type="dxa"/>
          </w:tcPr>
          <w:p w:rsidRPr="00D50326" w:rsidR="00DA1C8B" w:rsidP="00E770F1" w:rsidRDefault="00DA1C8B" w14:paraId="553345F0" w14:textId="77777777">
            <w:pPr>
              <w:pStyle w:val="ListParagraph"/>
              <w:autoSpaceDE w:val="0"/>
              <w:autoSpaceDN w:val="0"/>
              <w:adjustRightInd w:val="0"/>
              <w:ind w:left="0"/>
              <w:rPr>
                <w:rFonts w:ascii="Arial" w:hAnsi="Arial" w:cs="Arial"/>
              </w:rPr>
            </w:pPr>
            <w:r w:rsidRPr="00D50326">
              <w:rPr>
                <w:rFonts w:ascii="Arial" w:hAnsi="Arial" w:cs="Arial"/>
              </w:rPr>
              <w:t>Nos</w:t>
            </w:r>
          </w:p>
        </w:tc>
        <w:tc>
          <w:tcPr>
            <w:tcW w:w="850" w:type="dxa"/>
          </w:tcPr>
          <w:p w:rsidRPr="00D50326" w:rsidR="00DA1C8B" w:rsidP="00E770F1" w:rsidRDefault="00DA1C8B" w14:paraId="2B0EF210" w14:textId="77777777">
            <w:pPr>
              <w:pStyle w:val="ListParagraph"/>
              <w:autoSpaceDE w:val="0"/>
              <w:autoSpaceDN w:val="0"/>
              <w:adjustRightInd w:val="0"/>
              <w:ind w:left="0"/>
              <w:rPr>
                <w:rFonts w:ascii="Arial" w:hAnsi="Arial" w:cs="Arial"/>
              </w:rPr>
            </w:pPr>
            <w:r w:rsidRPr="00D50326">
              <w:rPr>
                <w:rFonts w:ascii="Arial" w:hAnsi="Arial" w:cs="Arial"/>
              </w:rPr>
              <w:t>%</w:t>
            </w:r>
          </w:p>
        </w:tc>
        <w:tc>
          <w:tcPr>
            <w:tcW w:w="1276" w:type="dxa"/>
          </w:tcPr>
          <w:p w:rsidRPr="00D50326" w:rsidR="00DA1C8B" w:rsidP="00E770F1" w:rsidRDefault="00DA1C8B" w14:paraId="77691C89" w14:textId="77777777">
            <w:pPr>
              <w:pStyle w:val="ListParagraph"/>
              <w:autoSpaceDE w:val="0"/>
              <w:autoSpaceDN w:val="0"/>
              <w:adjustRightInd w:val="0"/>
              <w:ind w:left="0"/>
              <w:rPr>
                <w:rFonts w:ascii="Arial" w:hAnsi="Arial" w:cs="Arial"/>
              </w:rPr>
            </w:pPr>
            <w:r w:rsidRPr="00D50326">
              <w:rPr>
                <w:rFonts w:ascii="Arial" w:hAnsi="Arial" w:cs="Arial"/>
              </w:rPr>
              <w:t>%</w:t>
            </w:r>
          </w:p>
        </w:tc>
      </w:tr>
      <w:tr w:rsidRPr="00D50326" w:rsidR="00D50326" w:rsidTr="007A2718" w14:paraId="11B9F30F" w14:textId="77777777">
        <w:trPr>
          <w:cantSplit/>
          <w:trHeight w:val="417"/>
          <w:tblHeader/>
        </w:trPr>
        <w:tc>
          <w:tcPr>
            <w:tcW w:w="1555" w:type="dxa"/>
          </w:tcPr>
          <w:p w:rsidRPr="00D50326" w:rsidR="00DA1C8B" w:rsidP="00E770F1" w:rsidRDefault="00A1306A" w14:paraId="2F9D2935" w14:textId="77777777">
            <w:pPr>
              <w:pStyle w:val="ListParagraph"/>
              <w:autoSpaceDE w:val="0"/>
              <w:autoSpaceDN w:val="0"/>
              <w:adjustRightInd w:val="0"/>
              <w:ind w:left="0"/>
              <w:rPr>
                <w:rFonts w:ascii="Arial" w:hAnsi="Arial" w:cs="Arial"/>
              </w:rPr>
            </w:pPr>
            <w:r>
              <w:rPr>
                <w:rFonts w:ascii="Arial" w:hAnsi="Arial" w:cs="Arial"/>
              </w:rPr>
              <w:t>Households P</w:t>
            </w:r>
            <w:r w:rsidRPr="00D50326" w:rsidR="00DA1C8B">
              <w:rPr>
                <w:rFonts w:ascii="Arial" w:hAnsi="Arial" w:cs="Arial"/>
              </w:rPr>
              <w:t>revent</w:t>
            </w:r>
            <w:r w:rsidR="00AA7846">
              <w:rPr>
                <w:rFonts w:ascii="Arial" w:hAnsi="Arial" w:cs="Arial"/>
              </w:rPr>
              <w:t>ion</w:t>
            </w:r>
          </w:p>
        </w:tc>
        <w:tc>
          <w:tcPr>
            <w:tcW w:w="708" w:type="dxa"/>
          </w:tcPr>
          <w:p w:rsidRPr="00D50326" w:rsidR="00DA1C8B" w:rsidP="00E770F1" w:rsidRDefault="00DA1C8B" w14:paraId="3B429040" w14:textId="77777777">
            <w:pPr>
              <w:pStyle w:val="ListParagraph"/>
              <w:autoSpaceDE w:val="0"/>
              <w:autoSpaceDN w:val="0"/>
              <w:adjustRightInd w:val="0"/>
              <w:ind w:left="0"/>
              <w:rPr>
                <w:rFonts w:ascii="Arial" w:hAnsi="Arial" w:cs="Arial"/>
              </w:rPr>
            </w:pPr>
            <w:r w:rsidRPr="00D50326">
              <w:rPr>
                <w:rFonts w:ascii="Arial" w:hAnsi="Arial" w:cs="Arial"/>
              </w:rPr>
              <w:t>102</w:t>
            </w:r>
          </w:p>
        </w:tc>
        <w:tc>
          <w:tcPr>
            <w:tcW w:w="709" w:type="dxa"/>
          </w:tcPr>
          <w:p w:rsidRPr="00D50326" w:rsidR="00DA1C8B" w:rsidP="00E770F1" w:rsidRDefault="00DA1C8B" w14:paraId="03A4B15C" w14:textId="77777777">
            <w:pPr>
              <w:pStyle w:val="ListParagraph"/>
              <w:autoSpaceDE w:val="0"/>
              <w:autoSpaceDN w:val="0"/>
              <w:adjustRightInd w:val="0"/>
              <w:ind w:left="0"/>
              <w:rPr>
                <w:rFonts w:ascii="Arial" w:hAnsi="Arial" w:cs="Arial"/>
              </w:rPr>
            </w:pPr>
            <w:r w:rsidRPr="00D50326">
              <w:rPr>
                <w:rFonts w:ascii="Arial" w:hAnsi="Arial" w:cs="Arial"/>
              </w:rPr>
              <w:t>53</w:t>
            </w:r>
          </w:p>
        </w:tc>
        <w:tc>
          <w:tcPr>
            <w:tcW w:w="851" w:type="dxa"/>
          </w:tcPr>
          <w:p w:rsidRPr="00D50326" w:rsidR="00DA1C8B" w:rsidP="00E770F1" w:rsidRDefault="00DA1C8B" w14:paraId="6034BC2F" w14:textId="77777777">
            <w:pPr>
              <w:pStyle w:val="ListParagraph"/>
              <w:autoSpaceDE w:val="0"/>
              <w:autoSpaceDN w:val="0"/>
              <w:adjustRightInd w:val="0"/>
              <w:ind w:left="0"/>
              <w:rPr>
                <w:rFonts w:ascii="Arial" w:hAnsi="Arial" w:cs="Arial"/>
              </w:rPr>
            </w:pPr>
            <w:r w:rsidRPr="00D50326">
              <w:rPr>
                <w:rFonts w:ascii="Arial" w:hAnsi="Arial" w:cs="Arial"/>
              </w:rPr>
              <w:t>87</w:t>
            </w:r>
            <w:r w:rsidR="00D55C46">
              <w:rPr>
                <w:rFonts w:ascii="Arial" w:hAnsi="Arial" w:cs="Arial"/>
              </w:rPr>
              <w:t>6</w:t>
            </w:r>
          </w:p>
        </w:tc>
        <w:tc>
          <w:tcPr>
            <w:tcW w:w="708" w:type="dxa"/>
          </w:tcPr>
          <w:p w:rsidRPr="00D50326" w:rsidR="00DA1C8B" w:rsidP="00E770F1" w:rsidRDefault="00DA1C8B" w14:paraId="622445E4" w14:textId="77777777">
            <w:pPr>
              <w:pStyle w:val="ListParagraph"/>
              <w:autoSpaceDE w:val="0"/>
              <w:autoSpaceDN w:val="0"/>
              <w:adjustRightInd w:val="0"/>
              <w:ind w:left="0"/>
              <w:rPr>
                <w:rFonts w:ascii="Arial" w:hAnsi="Arial" w:cs="Arial"/>
              </w:rPr>
            </w:pPr>
            <w:r w:rsidRPr="00D50326">
              <w:rPr>
                <w:rFonts w:ascii="Arial" w:hAnsi="Arial" w:cs="Arial"/>
              </w:rPr>
              <w:t>66</w:t>
            </w:r>
          </w:p>
        </w:tc>
        <w:tc>
          <w:tcPr>
            <w:tcW w:w="851" w:type="dxa"/>
          </w:tcPr>
          <w:p w:rsidRPr="00D50326" w:rsidR="00DA1C8B" w:rsidP="00E770F1" w:rsidRDefault="00DA1C8B" w14:paraId="249A2E78" w14:textId="77777777">
            <w:pPr>
              <w:pStyle w:val="ListParagraph"/>
              <w:autoSpaceDE w:val="0"/>
              <w:autoSpaceDN w:val="0"/>
              <w:adjustRightInd w:val="0"/>
              <w:ind w:left="0"/>
              <w:rPr>
                <w:rFonts w:ascii="Arial" w:hAnsi="Arial" w:cs="Arial"/>
              </w:rPr>
            </w:pPr>
            <w:r w:rsidRPr="00D50326">
              <w:rPr>
                <w:rFonts w:ascii="Arial" w:hAnsi="Arial" w:cs="Arial"/>
              </w:rPr>
              <w:t>166</w:t>
            </w:r>
          </w:p>
        </w:tc>
        <w:tc>
          <w:tcPr>
            <w:tcW w:w="850" w:type="dxa"/>
          </w:tcPr>
          <w:p w:rsidRPr="00D50326" w:rsidR="00DA1C8B" w:rsidP="00E770F1" w:rsidRDefault="00DA1C8B" w14:paraId="49F587FC" w14:textId="77777777">
            <w:pPr>
              <w:pStyle w:val="ListParagraph"/>
              <w:autoSpaceDE w:val="0"/>
              <w:autoSpaceDN w:val="0"/>
              <w:adjustRightInd w:val="0"/>
              <w:ind w:left="0"/>
              <w:rPr>
                <w:rFonts w:ascii="Arial" w:hAnsi="Arial" w:cs="Arial"/>
              </w:rPr>
            </w:pPr>
            <w:r w:rsidRPr="00D50326">
              <w:rPr>
                <w:rFonts w:ascii="Arial" w:hAnsi="Arial" w:cs="Arial"/>
              </w:rPr>
              <w:t>57</w:t>
            </w:r>
          </w:p>
        </w:tc>
        <w:tc>
          <w:tcPr>
            <w:tcW w:w="1276" w:type="dxa"/>
          </w:tcPr>
          <w:p w:rsidRPr="00D50326" w:rsidR="00DA1C8B" w:rsidP="00E770F1" w:rsidRDefault="00DA1C8B" w14:paraId="6B6EB8F1" w14:textId="77777777">
            <w:pPr>
              <w:pStyle w:val="ListParagraph"/>
              <w:autoSpaceDE w:val="0"/>
              <w:autoSpaceDN w:val="0"/>
              <w:adjustRightInd w:val="0"/>
              <w:ind w:left="0"/>
              <w:rPr>
                <w:rFonts w:ascii="Arial" w:hAnsi="Arial" w:cs="Arial"/>
              </w:rPr>
            </w:pPr>
            <w:r w:rsidRPr="00D50326">
              <w:rPr>
                <w:rFonts w:ascii="Arial" w:hAnsi="Arial" w:cs="Arial"/>
              </w:rPr>
              <w:t>56</w:t>
            </w:r>
          </w:p>
        </w:tc>
      </w:tr>
      <w:tr w:rsidRPr="00D50326" w:rsidR="00D50326" w:rsidTr="007A2718" w14:paraId="2657F078" w14:textId="77777777">
        <w:trPr>
          <w:cantSplit/>
          <w:trHeight w:val="417"/>
          <w:tblHeader/>
        </w:trPr>
        <w:tc>
          <w:tcPr>
            <w:tcW w:w="1555" w:type="dxa"/>
          </w:tcPr>
          <w:p w:rsidRPr="00D50326" w:rsidR="00DA1C8B" w:rsidP="00E770F1" w:rsidRDefault="00A1306A" w14:paraId="25AE4385" w14:textId="77777777">
            <w:pPr>
              <w:pStyle w:val="ListParagraph"/>
              <w:autoSpaceDE w:val="0"/>
              <w:autoSpaceDN w:val="0"/>
              <w:adjustRightInd w:val="0"/>
              <w:ind w:left="0"/>
              <w:rPr>
                <w:rFonts w:ascii="Arial" w:hAnsi="Arial" w:cs="Arial"/>
              </w:rPr>
            </w:pPr>
            <w:r>
              <w:rPr>
                <w:rFonts w:ascii="Arial" w:hAnsi="Arial" w:cs="Arial"/>
              </w:rPr>
              <w:t>Households R</w:t>
            </w:r>
            <w:r w:rsidRPr="00D50326" w:rsidR="00DA1C8B">
              <w:rPr>
                <w:rFonts w:ascii="Arial" w:hAnsi="Arial" w:cs="Arial"/>
              </w:rPr>
              <w:t>elief</w:t>
            </w:r>
          </w:p>
        </w:tc>
        <w:tc>
          <w:tcPr>
            <w:tcW w:w="708" w:type="dxa"/>
          </w:tcPr>
          <w:p w:rsidRPr="00D50326" w:rsidR="00DA1C8B" w:rsidP="00E770F1" w:rsidRDefault="00DA1C8B" w14:paraId="2960FA38" w14:textId="77777777">
            <w:pPr>
              <w:pStyle w:val="ListParagraph"/>
              <w:autoSpaceDE w:val="0"/>
              <w:autoSpaceDN w:val="0"/>
              <w:adjustRightInd w:val="0"/>
              <w:ind w:left="0"/>
              <w:rPr>
                <w:rFonts w:ascii="Arial" w:hAnsi="Arial" w:cs="Arial"/>
              </w:rPr>
            </w:pPr>
            <w:r w:rsidRPr="00D50326">
              <w:rPr>
                <w:rFonts w:ascii="Arial" w:hAnsi="Arial" w:cs="Arial"/>
              </w:rPr>
              <w:t>91</w:t>
            </w:r>
          </w:p>
        </w:tc>
        <w:tc>
          <w:tcPr>
            <w:tcW w:w="709" w:type="dxa"/>
          </w:tcPr>
          <w:p w:rsidRPr="00D50326" w:rsidR="00DA1C8B" w:rsidP="00E770F1" w:rsidRDefault="00DA1C8B" w14:paraId="086BF2F7" w14:textId="77777777">
            <w:pPr>
              <w:pStyle w:val="ListParagraph"/>
              <w:autoSpaceDE w:val="0"/>
              <w:autoSpaceDN w:val="0"/>
              <w:adjustRightInd w:val="0"/>
              <w:ind w:left="0"/>
              <w:rPr>
                <w:rFonts w:ascii="Arial" w:hAnsi="Arial" w:cs="Arial"/>
              </w:rPr>
            </w:pPr>
            <w:r w:rsidRPr="00D50326">
              <w:rPr>
                <w:rFonts w:ascii="Arial" w:hAnsi="Arial" w:cs="Arial"/>
              </w:rPr>
              <w:t>47</w:t>
            </w:r>
          </w:p>
        </w:tc>
        <w:tc>
          <w:tcPr>
            <w:tcW w:w="851" w:type="dxa"/>
          </w:tcPr>
          <w:p w:rsidRPr="00D50326" w:rsidR="00DA1C8B" w:rsidP="00E770F1" w:rsidRDefault="00D55C46" w14:paraId="30549F2F" w14:textId="77777777">
            <w:pPr>
              <w:pStyle w:val="ListParagraph"/>
              <w:autoSpaceDE w:val="0"/>
              <w:autoSpaceDN w:val="0"/>
              <w:adjustRightInd w:val="0"/>
              <w:ind w:left="0"/>
              <w:rPr>
                <w:rFonts w:ascii="Arial" w:hAnsi="Arial" w:cs="Arial"/>
              </w:rPr>
            </w:pPr>
            <w:r>
              <w:rPr>
                <w:rFonts w:ascii="Arial" w:hAnsi="Arial" w:cs="Arial"/>
              </w:rPr>
              <w:t>435</w:t>
            </w:r>
          </w:p>
        </w:tc>
        <w:tc>
          <w:tcPr>
            <w:tcW w:w="708" w:type="dxa"/>
          </w:tcPr>
          <w:p w:rsidRPr="00D50326" w:rsidR="00DA1C8B" w:rsidP="00E770F1" w:rsidRDefault="00DA1C8B" w14:paraId="396BA36B" w14:textId="77777777">
            <w:pPr>
              <w:pStyle w:val="ListParagraph"/>
              <w:autoSpaceDE w:val="0"/>
              <w:autoSpaceDN w:val="0"/>
              <w:adjustRightInd w:val="0"/>
              <w:ind w:left="0"/>
              <w:rPr>
                <w:rFonts w:ascii="Arial" w:hAnsi="Arial" w:cs="Arial"/>
              </w:rPr>
            </w:pPr>
            <w:r w:rsidRPr="00D50326">
              <w:rPr>
                <w:rFonts w:ascii="Arial" w:hAnsi="Arial" w:cs="Arial"/>
              </w:rPr>
              <w:t>34</w:t>
            </w:r>
          </w:p>
        </w:tc>
        <w:tc>
          <w:tcPr>
            <w:tcW w:w="851" w:type="dxa"/>
          </w:tcPr>
          <w:p w:rsidRPr="00D50326" w:rsidR="00DA1C8B" w:rsidP="00E770F1" w:rsidRDefault="00DA1C8B" w14:paraId="71691570" w14:textId="77777777">
            <w:pPr>
              <w:pStyle w:val="ListParagraph"/>
              <w:autoSpaceDE w:val="0"/>
              <w:autoSpaceDN w:val="0"/>
              <w:adjustRightInd w:val="0"/>
              <w:ind w:left="0"/>
              <w:rPr>
                <w:rFonts w:ascii="Arial" w:hAnsi="Arial" w:cs="Arial"/>
              </w:rPr>
            </w:pPr>
            <w:r w:rsidRPr="00D50326">
              <w:rPr>
                <w:rFonts w:ascii="Arial" w:hAnsi="Arial" w:cs="Arial"/>
              </w:rPr>
              <w:t>126</w:t>
            </w:r>
          </w:p>
        </w:tc>
        <w:tc>
          <w:tcPr>
            <w:tcW w:w="850" w:type="dxa"/>
          </w:tcPr>
          <w:p w:rsidRPr="00D50326" w:rsidR="00DA1C8B" w:rsidP="00E770F1" w:rsidRDefault="00DA1C8B" w14:paraId="67685429" w14:textId="77777777">
            <w:pPr>
              <w:pStyle w:val="ListParagraph"/>
              <w:autoSpaceDE w:val="0"/>
              <w:autoSpaceDN w:val="0"/>
              <w:adjustRightInd w:val="0"/>
              <w:ind w:left="0"/>
              <w:rPr>
                <w:rFonts w:ascii="Arial" w:hAnsi="Arial" w:cs="Arial"/>
              </w:rPr>
            </w:pPr>
            <w:r w:rsidRPr="00D50326">
              <w:rPr>
                <w:rFonts w:ascii="Arial" w:hAnsi="Arial" w:cs="Arial"/>
              </w:rPr>
              <w:t>43</w:t>
            </w:r>
          </w:p>
        </w:tc>
        <w:tc>
          <w:tcPr>
            <w:tcW w:w="1276" w:type="dxa"/>
          </w:tcPr>
          <w:p w:rsidRPr="00D50326" w:rsidR="00DA1C8B" w:rsidP="00E770F1" w:rsidRDefault="00DA1C8B" w14:paraId="28718715" w14:textId="77777777">
            <w:pPr>
              <w:pStyle w:val="ListParagraph"/>
              <w:autoSpaceDE w:val="0"/>
              <w:autoSpaceDN w:val="0"/>
              <w:adjustRightInd w:val="0"/>
              <w:ind w:left="0"/>
              <w:rPr>
                <w:rFonts w:ascii="Arial" w:hAnsi="Arial" w:cs="Arial"/>
              </w:rPr>
            </w:pPr>
            <w:r w:rsidRPr="00D50326">
              <w:rPr>
                <w:rFonts w:ascii="Arial" w:hAnsi="Arial" w:cs="Arial"/>
              </w:rPr>
              <w:t>44</w:t>
            </w:r>
          </w:p>
        </w:tc>
      </w:tr>
    </w:tbl>
    <w:p w:rsidRPr="00DD6487" w:rsidR="00D50326" w:rsidP="00D50326" w:rsidRDefault="00D50326" w14:paraId="16B0FC25" w14:textId="77777777">
      <w:pPr>
        <w:pStyle w:val="ListParagraph"/>
        <w:autoSpaceDE w:val="0"/>
        <w:autoSpaceDN w:val="0"/>
        <w:adjustRightInd w:val="0"/>
        <w:ind w:left="0"/>
        <w:rPr>
          <w:rFonts w:ascii="Arial" w:hAnsi="Arial" w:cs="Arial"/>
          <w:sz w:val="16"/>
          <w:szCs w:val="16"/>
        </w:rPr>
      </w:pPr>
      <w:r w:rsidRPr="00DD6487">
        <w:rPr>
          <w:rFonts w:ascii="Arial" w:hAnsi="Arial" w:cs="Arial"/>
          <w:sz w:val="16"/>
          <w:szCs w:val="16"/>
        </w:rPr>
        <w:t>Table 8</w:t>
      </w:r>
    </w:p>
    <w:p w:rsidRPr="00D50326" w:rsidR="00DA1C8B" w:rsidP="002D054A" w:rsidRDefault="00DA1C8B" w14:paraId="1EC5D509" w14:textId="77777777">
      <w:pPr>
        <w:pStyle w:val="ListParagraph"/>
        <w:autoSpaceDE w:val="0"/>
        <w:autoSpaceDN w:val="0"/>
        <w:adjustRightInd w:val="0"/>
        <w:ind w:left="0"/>
        <w:rPr>
          <w:rFonts w:ascii="Arial" w:hAnsi="Arial" w:cs="Arial"/>
        </w:rPr>
      </w:pPr>
    </w:p>
    <w:p w:rsidR="00AE0572" w:rsidP="00E770F1" w:rsidRDefault="00AE0572" w14:paraId="268A7996" w14:textId="77777777">
      <w:pPr>
        <w:pStyle w:val="ListParagraph"/>
        <w:autoSpaceDE w:val="0"/>
        <w:autoSpaceDN w:val="0"/>
        <w:adjustRightInd w:val="0"/>
        <w:ind w:left="0"/>
        <w:rPr>
          <w:rFonts w:ascii="Arial" w:hAnsi="Arial" w:cs="Arial"/>
        </w:rPr>
      </w:pPr>
    </w:p>
    <w:p w:rsidRPr="00D50326" w:rsidR="00E770F1" w:rsidP="00E770F1" w:rsidRDefault="00E770F1" w14:paraId="296735A0" w14:textId="77777777">
      <w:pPr>
        <w:pStyle w:val="ListParagraph"/>
        <w:autoSpaceDE w:val="0"/>
        <w:autoSpaceDN w:val="0"/>
        <w:adjustRightInd w:val="0"/>
        <w:ind w:left="0"/>
        <w:rPr>
          <w:rFonts w:ascii="Arial" w:hAnsi="Arial" w:cs="Arial"/>
        </w:rPr>
      </w:pPr>
      <w:r w:rsidRPr="00D50326">
        <w:rPr>
          <w:rFonts w:ascii="Arial" w:hAnsi="Arial" w:cs="Arial"/>
        </w:rPr>
        <w:t xml:space="preserve">Both South Norfolk and Broadland councils are comparable to the East in the percentage of people who have their homelessness prevented. In Norwich, we reported </w:t>
      </w:r>
      <w:r w:rsidRPr="00D50326" w:rsidR="0095587C">
        <w:rPr>
          <w:rFonts w:ascii="Arial" w:hAnsi="Arial" w:cs="Arial"/>
        </w:rPr>
        <w:t xml:space="preserve">a </w:t>
      </w:r>
      <w:r w:rsidRPr="00D50326">
        <w:rPr>
          <w:rFonts w:ascii="Arial" w:hAnsi="Arial" w:cs="Arial"/>
        </w:rPr>
        <w:t>10% higher figure (than the East) for households prevented from becoming homeless.</w:t>
      </w:r>
    </w:p>
    <w:p w:rsidRPr="00D50326" w:rsidR="00E770F1" w:rsidP="00E770F1" w:rsidRDefault="00E770F1" w14:paraId="7781158F" w14:textId="77777777">
      <w:pPr>
        <w:pStyle w:val="ListParagraph"/>
        <w:autoSpaceDE w:val="0"/>
        <w:autoSpaceDN w:val="0"/>
        <w:adjustRightInd w:val="0"/>
        <w:ind w:left="0"/>
        <w:rPr>
          <w:rFonts w:ascii="Arial" w:hAnsi="Arial" w:cs="Arial"/>
        </w:rPr>
      </w:pPr>
    </w:p>
    <w:p w:rsidRPr="00D50326" w:rsidR="00E770F1" w:rsidP="00BC168A" w:rsidRDefault="00007A21" w14:paraId="2E25185E" w14:textId="77777777">
      <w:pPr>
        <w:pStyle w:val="GNHS3"/>
        <w:ind w:left="720" w:hanging="720"/>
      </w:pPr>
      <w:r>
        <w:lastRenderedPageBreak/>
        <w:t>3.23</w:t>
      </w:r>
      <w:r w:rsidR="00DD6487">
        <w:tab/>
      </w:r>
      <w:r w:rsidRPr="00D50326" w:rsidR="00E770F1">
        <w:t xml:space="preserve">Household </w:t>
      </w:r>
      <w:r w:rsidR="00AF7BDE">
        <w:t>Type Seeking H</w:t>
      </w:r>
      <w:r w:rsidRPr="00D50326" w:rsidR="00E770F1">
        <w:t>elp</w:t>
      </w:r>
      <w:r w:rsidR="00AF7BDE">
        <w:t xml:space="preserve"> to Prevent or R</w:t>
      </w:r>
      <w:r w:rsidRPr="00D50326" w:rsidR="00E770F1">
        <w:t>eli</w:t>
      </w:r>
      <w:r w:rsidRPr="00D50326" w:rsidR="007D00B9">
        <w:t>e</w:t>
      </w:r>
      <w:r w:rsidR="00AF7BDE">
        <w:t>ve their H</w:t>
      </w:r>
      <w:r w:rsidRPr="00D50326" w:rsidR="00E770F1">
        <w:t>omelessness</w:t>
      </w:r>
    </w:p>
    <w:p w:rsidRPr="00D50326" w:rsidR="00E770F1" w:rsidP="00E770F1" w:rsidRDefault="00E770F1" w14:paraId="6024AD15" w14:textId="77777777">
      <w:pPr>
        <w:pStyle w:val="ListParagraph"/>
        <w:autoSpaceDE w:val="0"/>
        <w:autoSpaceDN w:val="0"/>
        <w:adjustRightInd w:val="0"/>
        <w:ind w:left="0"/>
        <w:rPr>
          <w:rFonts w:ascii="Arial" w:hAnsi="Arial" w:cs="Arial"/>
        </w:rPr>
      </w:pPr>
    </w:p>
    <w:p w:rsidRPr="00D50326" w:rsidR="00E770F1" w:rsidP="00E770F1" w:rsidRDefault="00E770F1" w14:paraId="7A10DDC9" w14:textId="77777777">
      <w:pPr>
        <w:pStyle w:val="ListParagraph"/>
        <w:autoSpaceDE w:val="0"/>
        <w:autoSpaceDN w:val="0"/>
        <w:adjustRightInd w:val="0"/>
        <w:ind w:left="0"/>
        <w:rPr>
          <w:rFonts w:ascii="Arial" w:hAnsi="Arial" w:cs="Arial"/>
        </w:rPr>
      </w:pPr>
      <w:r w:rsidRPr="00D50326">
        <w:rPr>
          <w:rFonts w:ascii="Arial" w:hAnsi="Arial" w:cs="Arial"/>
        </w:rPr>
        <w:t>The following information shows the household types that are seeking help with their housing. This</w:t>
      </w:r>
      <w:r w:rsidRPr="00D50326" w:rsidR="00E17B10">
        <w:rPr>
          <w:rFonts w:ascii="Arial" w:hAnsi="Arial" w:cs="Arial"/>
        </w:rPr>
        <w:t xml:space="preserve"> information</w:t>
      </w:r>
      <w:r w:rsidRPr="00D50326">
        <w:rPr>
          <w:rFonts w:ascii="Arial" w:hAnsi="Arial" w:cs="Arial"/>
        </w:rPr>
        <w:t xml:space="preserve"> helps us understand the characteristics of the </w:t>
      </w:r>
      <w:r w:rsidRPr="00D50326" w:rsidR="00E17B10">
        <w:rPr>
          <w:rFonts w:ascii="Arial" w:hAnsi="Arial" w:cs="Arial"/>
        </w:rPr>
        <w:t>t</w:t>
      </w:r>
      <w:r w:rsidRPr="00D50326">
        <w:rPr>
          <w:rFonts w:ascii="Arial" w:hAnsi="Arial" w:cs="Arial"/>
        </w:rPr>
        <w:t>ypes</w:t>
      </w:r>
      <w:r w:rsidRPr="00D50326" w:rsidR="00E17B10">
        <w:rPr>
          <w:rFonts w:ascii="Arial" w:hAnsi="Arial" w:cs="Arial"/>
        </w:rPr>
        <w:t xml:space="preserve"> of households</w:t>
      </w:r>
      <w:r w:rsidRPr="00D50326">
        <w:rPr>
          <w:rFonts w:ascii="Arial" w:hAnsi="Arial" w:cs="Arial"/>
        </w:rPr>
        <w:t xml:space="preserve"> who approach us </w:t>
      </w:r>
      <w:r w:rsidRPr="00D50326" w:rsidR="00E17B10">
        <w:rPr>
          <w:rFonts w:ascii="Arial" w:hAnsi="Arial" w:cs="Arial"/>
        </w:rPr>
        <w:t>so that we can p</w:t>
      </w:r>
      <w:r w:rsidRPr="00D50326">
        <w:rPr>
          <w:rFonts w:ascii="Arial" w:hAnsi="Arial" w:cs="Arial"/>
        </w:rPr>
        <w:t xml:space="preserve">ut in place </w:t>
      </w:r>
      <w:r w:rsidRPr="00D50326" w:rsidR="00E17B10">
        <w:rPr>
          <w:rFonts w:ascii="Arial" w:hAnsi="Arial" w:cs="Arial"/>
        </w:rPr>
        <w:t>more effective interventions.</w:t>
      </w:r>
    </w:p>
    <w:p w:rsidR="00DD6487" w:rsidP="00E17B10" w:rsidRDefault="00DD6487" w14:paraId="74195C15" w14:textId="77777777">
      <w:pPr>
        <w:pStyle w:val="ListParagraph"/>
        <w:autoSpaceDE w:val="0"/>
        <w:autoSpaceDN w:val="0"/>
        <w:adjustRightInd w:val="0"/>
        <w:ind w:left="0"/>
        <w:rPr>
          <w:rFonts w:ascii="Arial" w:hAnsi="Arial" w:cs="Arial"/>
          <w:b/>
        </w:rPr>
      </w:pPr>
    </w:p>
    <w:p w:rsidRPr="00D50326" w:rsidR="00DD6487" w:rsidP="00DD6487" w:rsidRDefault="00DD6487" w14:paraId="0BEE7968" w14:textId="77777777">
      <w:pPr>
        <w:pStyle w:val="ListParagraph"/>
        <w:autoSpaceDE w:val="0"/>
        <w:autoSpaceDN w:val="0"/>
        <w:adjustRightInd w:val="0"/>
        <w:ind w:left="0"/>
        <w:rPr>
          <w:rFonts w:ascii="Arial" w:hAnsi="Arial" w:cs="Arial"/>
        </w:rPr>
      </w:pPr>
      <w:r w:rsidRPr="00D50326">
        <w:rPr>
          <w:rFonts w:ascii="Arial" w:hAnsi="Arial" w:cs="Arial"/>
        </w:rPr>
        <w:t>In Greater Norwich during 2018/19, the most common household type to seek preventative help were single households. This accounts for 66% of all prevention cases in Norwich, 54% in Broadland and 48% in South Norfolk. This household type (in the 2011 Census) accounted for 38%, 26% and 26% of all households in Norwich, Broadland and South Norfolk respectively. This number is even higher when we consider the number of single households who seek help with their homelessness when they are already homeless (relief) ; 83% of all relief cases in Norwich, 62% in Broadland and 61% in South Norfolk compared to 66% in the East. The majority of households who seek help when they a</w:t>
      </w:r>
      <w:r w:rsidR="00A1306A">
        <w:rPr>
          <w:rFonts w:ascii="Arial" w:hAnsi="Arial" w:cs="Arial"/>
        </w:rPr>
        <w:t>re already homeless are</w:t>
      </w:r>
      <w:r w:rsidRPr="00D50326">
        <w:rPr>
          <w:rFonts w:ascii="Arial" w:hAnsi="Arial" w:cs="Arial"/>
        </w:rPr>
        <w:t xml:space="preserve"> single males although in South Norfolk and Broadland the gap is much smaller than Norwich.</w:t>
      </w:r>
    </w:p>
    <w:p w:rsidRPr="00D50326" w:rsidR="00F916D3" w:rsidP="00E17B10" w:rsidRDefault="00F916D3" w14:paraId="56B45449" w14:textId="77777777">
      <w:pPr>
        <w:pStyle w:val="ListParagraph"/>
        <w:autoSpaceDE w:val="0"/>
        <w:autoSpaceDN w:val="0"/>
        <w:adjustRightInd w:val="0"/>
        <w:ind w:left="0"/>
        <w:rPr>
          <w:rFonts w:ascii="Arial" w:hAnsi="Arial" w:cs="Arial"/>
        </w:rPr>
      </w:pPr>
    </w:p>
    <w:tbl>
      <w:tblPr>
        <w:tblStyle w:val="TableGrid"/>
        <w:tblW w:w="0" w:type="auto"/>
        <w:tblLook w:val="04A0" w:firstRow="1" w:lastRow="0" w:firstColumn="1" w:lastColumn="0" w:noHBand="0" w:noVBand="1"/>
        <w:tblCaption w:val="Household type"/>
        <w:tblDescription w:val="Table showing household type by Broadland, Norwich, South Norfolk and East of England by prevention and relief. Figures shown as %"/>
      </w:tblPr>
      <w:tblGrid>
        <w:gridCol w:w="2547"/>
        <w:gridCol w:w="1030"/>
        <w:gridCol w:w="1030"/>
        <w:gridCol w:w="1030"/>
        <w:gridCol w:w="1030"/>
      </w:tblGrid>
      <w:tr w:rsidRPr="00D50326" w:rsidR="00A1306A" w:rsidTr="007A2718" w14:paraId="0A601E82" w14:textId="77777777">
        <w:trPr>
          <w:cantSplit/>
          <w:tblHeader/>
        </w:trPr>
        <w:tc>
          <w:tcPr>
            <w:tcW w:w="2547" w:type="dxa"/>
            <w:shd w:val="clear" w:color="auto" w:fill="F2F2F2" w:themeFill="background1" w:themeFillShade="F2"/>
          </w:tcPr>
          <w:p w:rsidRPr="009F1263" w:rsidR="00A1306A" w:rsidP="00E17B10" w:rsidRDefault="00A1306A" w14:paraId="5F1255A0" w14:textId="77777777">
            <w:pPr>
              <w:pStyle w:val="ListParagraph"/>
              <w:autoSpaceDE w:val="0"/>
              <w:autoSpaceDN w:val="0"/>
              <w:adjustRightInd w:val="0"/>
              <w:ind w:left="0"/>
              <w:rPr>
                <w:rFonts w:ascii="Arial" w:hAnsi="Arial" w:cs="Arial"/>
                <w:b/>
              </w:rPr>
            </w:pPr>
          </w:p>
        </w:tc>
        <w:tc>
          <w:tcPr>
            <w:tcW w:w="4120" w:type="dxa"/>
            <w:gridSpan w:val="4"/>
            <w:shd w:val="clear" w:color="auto" w:fill="F2F2F2" w:themeFill="background1" w:themeFillShade="F2"/>
          </w:tcPr>
          <w:p w:rsidRPr="009F1263" w:rsidR="00A1306A" w:rsidP="00A1306A" w:rsidRDefault="00A1306A" w14:paraId="5D6BC48C" w14:textId="77777777">
            <w:pPr>
              <w:pStyle w:val="ListParagraph"/>
              <w:autoSpaceDE w:val="0"/>
              <w:autoSpaceDN w:val="0"/>
              <w:adjustRightInd w:val="0"/>
              <w:ind w:left="0"/>
              <w:jc w:val="center"/>
              <w:rPr>
                <w:rFonts w:ascii="Arial" w:hAnsi="Arial" w:cs="Arial"/>
                <w:b/>
              </w:rPr>
            </w:pPr>
            <w:r w:rsidRPr="009F1263">
              <w:rPr>
                <w:rFonts w:ascii="Arial" w:hAnsi="Arial" w:cs="Arial"/>
                <w:b/>
              </w:rPr>
              <w:t>Prevention/</w:t>
            </w:r>
            <w:r w:rsidRPr="009F1263" w:rsidR="009F1263">
              <w:rPr>
                <w:rFonts w:ascii="Arial" w:hAnsi="Arial" w:cs="Arial"/>
                <w:b/>
              </w:rPr>
              <w:t>Relief</w:t>
            </w:r>
          </w:p>
        </w:tc>
      </w:tr>
      <w:tr w:rsidRPr="00D50326" w:rsidR="00D50326" w:rsidTr="007A2718" w14:paraId="2DD49196" w14:textId="77777777">
        <w:trPr>
          <w:cantSplit/>
          <w:tblHeader/>
        </w:trPr>
        <w:tc>
          <w:tcPr>
            <w:tcW w:w="2547" w:type="dxa"/>
            <w:shd w:val="clear" w:color="auto" w:fill="F2F2F2" w:themeFill="background1" w:themeFillShade="F2"/>
          </w:tcPr>
          <w:p w:rsidRPr="009F1263" w:rsidR="00E17B10" w:rsidP="00E17B10" w:rsidRDefault="00E17B10" w14:paraId="247F0711" w14:textId="77777777">
            <w:pPr>
              <w:pStyle w:val="ListParagraph"/>
              <w:autoSpaceDE w:val="0"/>
              <w:autoSpaceDN w:val="0"/>
              <w:adjustRightInd w:val="0"/>
              <w:ind w:left="0"/>
              <w:rPr>
                <w:rFonts w:ascii="Arial" w:hAnsi="Arial" w:cs="Arial"/>
                <w:b/>
              </w:rPr>
            </w:pPr>
            <w:r w:rsidRPr="009F1263">
              <w:rPr>
                <w:rFonts w:ascii="Arial" w:hAnsi="Arial" w:cs="Arial"/>
                <w:b/>
              </w:rPr>
              <w:t>Househ</w:t>
            </w:r>
            <w:r w:rsidRPr="009F1263" w:rsidR="00621767">
              <w:rPr>
                <w:rFonts w:ascii="Arial" w:hAnsi="Arial" w:cs="Arial"/>
                <w:b/>
              </w:rPr>
              <w:t>o</w:t>
            </w:r>
            <w:r w:rsidRPr="009F1263">
              <w:rPr>
                <w:rFonts w:ascii="Arial" w:hAnsi="Arial" w:cs="Arial"/>
                <w:b/>
              </w:rPr>
              <w:t>ld type</w:t>
            </w:r>
          </w:p>
        </w:tc>
        <w:tc>
          <w:tcPr>
            <w:tcW w:w="1030" w:type="dxa"/>
            <w:shd w:val="clear" w:color="auto" w:fill="F2F2F2" w:themeFill="background1" w:themeFillShade="F2"/>
          </w:tcPr>
          <w:p w:rsidRPr="009F1263" w:rsidR="00E17B10" w:rsidP="00E17B10" w:rsidRDefault="00E17B10" w14:paraId="383EE69A" w14:textId="77777777">
            <w:pPr>
              <w:pStyle w:val="ListParagraph"/>
              <w:autoSpaceDE w:val="0"/>
              <w:autoSpaceDN w:val="0"/>
              <w:adjustRightInd w:val="0"/>
              <w:ind w:left="0"/>
              <w:rPr>
                <w:rFonts w:ascii="Arial" w:hAnsi="Arial" w:cs="Arial"/>
                <w:b/>
              </w:rPr>
            </w:pPr>
            <w:r w:rsidRPr="009F1263">
              <w:rPr>
                <w:rFonts w:ascii="Arial" w:hAnsi="Arial" w:cs="Arial"/>
                <w:b/>
              </w:rPr>
              <w:t>BDC</w:t>
            </w:r>
            <w:r w:rsidRPr="009F1263" w:rsidR="00A1306A">
              <w:rPr>
                <w:rFonts w:ascii="Arial" w:hAnsi="Arial" w:cs="Arial"/>
                <w:b/>
              </w:rPr>
              <w:t xml:space="preserve"> </w:t>
            </w:r>
          </w:p>
          <w:p w:rsidRPr="009F1263" w:rsidR="00A1306A" w:rsidP="00E17B10" w:rsidRDefault="00A1306A" w14:paraId="60216A1A" w14:textId="77777777">
            <w:pPr>
              <w:pStyle w:val="ListParagraph"/>
              <w:autoSpaceDE w:val="0"/>
              <w:autoSpaceDN w:val="0"/>
              <w:adjustRightInd w:val="0"/>
              <w:ind w:left="0"/>
              <w:rPr>
                <w:rFonts w:ascii="Arial" w:hAnsi="Arial" w:cs="Arial"/>
                <w:b/>
              </w:rPr>
            </w:pPr>
          </w:p>
        </w:tc>
        <w:tc>
          <w:tcPr>
            <w:tcW w:w="1030" w:type="dxa"/>
            <w:shd w:val="clear" w:color="auto" w:fill="F2F2F2" w:themeFill="background1" w:themeFillShade="F2"/>
          </w:tcPr>
          <w:p w:rsidRPr="009F1263" w:rsidR="00E17B10" w:rsidP="00E17B10" w:rsidRDefault="00E17B10" w14:paraId="7CF03E35" w14:textId="77777777">
            <w:pPr>
              <w:pStyle w:val="ListParagraph"/>
              <w:autoSpaceDE w:val="0"/>
              <w:autoSpaceDN w:val="0"/>
              <w:adjustRightInd w:val="0"/>
              <w:ind w:left="0"/>
              <w:rPr>
                <w:rFonts w:ascii="Arial" w:hAnsi="Arial" w:cs="Arial"/>
                <w:b/>
              </w:rPr>
            </w:pPr>
            <w:r w:rsidRPr="009F1263">
              <w:rPr>
                <w:rFonts w:ascii="Arial" w:hAnsi="Arial" w:cs="Arial"/>
                <w:b/>
              </w:rPr>
              <w:t>NCC</w:t>
            </w:r>
          </w:p>
        </w:tc>
        <w:tc>
          <w:tcPr>
            <w:tcW w:w="1030" w:type="dxa"/>
            <w:shd w:val="clear" w:color="auto" w:fill="F2F2F2" w:themeFill="background1" w:themeFillShade="F2"/>
          </w:tcPr>
          <w:p w:rsidRPr="009F1263" w:rsidR="00E17B10" w:rsidP="00E17B10" w:rsidRDefault="00E17B10" w14:paraId="278F847F" w14:textId="77777777">
            <w:pPr>
              <w:pStyle w:val="ListParagraph"/>
              <w:autoSpaceDE w:val="0"/>
              <w:autoSpaceDN w:val="0"/>
              <w:adjustRightInd w:val="0"/>
              <w:ind w:left="0"/>
              <w:rPr>
                <w:rFonts w:ascii="Arial" w:hAnsi="Arial" w:cs="Arial"/>
                <w:b/>
              </w:rPr>
            </w:pPr>
            <w:r w:rsidRPr="009F1263">
              <w:rPr>
                <w:rFonts w:ascii="Arial" w:hAnsi="Arial" w:cs="Arial"/>
                <w:b/>
              </w:rPr>
              <w:t>SNC</w:t>
            </w:r>
          </w:p>
        </w:tc>
        <w:tc>
          <w:tcPr>
            <w:tcW w:w="1030" w:type="dxa"/>
            <w:shd w:val="clear" w:color="auto" w:fill="F2F2F2" w:themeFill="background1" w:themeFillShade="F2"/>
          </w:tcPr>
          <w:p w:rsidRPr="009F1263" w:rsidR="00E17B10" w:rsidP="00E17B10" w:rsidRDefault="00E17B10" w14:paraId="47DABEBF" w14:textId="77777777">
            <w:pPr>
              <w:pStyle w:val="ListParagraph"/>
              <w:autoSpaceDE w:val="0"/>
              <w:autoSpaceDN w:val="0"/>
              <w:adjustRightInd w:val="0"/>
              <w:ind w:left="0"/>
              <w:rPr>
                <w:rFonts w:ascii="Arial" w:hAnsi="Arial" w:cs="Arial"/>
                <w:b/>
              </w:rPr>
            </w:pPr>
            <w:r w:rsidRPr="009F1263">
              <w:rPr>
                <w:rFonts w:ascii="Arial" w:hAnsi="Arial" w:cs="Arial"/>
                <w:b/>
              </w:rPr>
              <w:t>East</w:t>
            </w:r>
          </w:p>
        </w:tc>
      </w:tr>
      <w:tr w:rsidRPr="00D50326" w:rsidR="00D50326" w:rsidTr="007A2718" w14:paraId="68F07AC0" w14:textId="77777777">
        <w:trPr>
          <w:cantSplit/>
        </w:trPr>
        <w:tc>
          <w:tcPr>
            <w:tcW w:w="2547" w:type="dxa"/>
          </w:tcPr>
          <w:p w:rsidRPr="00D50326" w:rsidR="00E17B10" w:rsidP="00E17B10" w:rsidRDefault="00E17B10" w14:paraId="4EE1E60F" w14:textId="77777777">
            <w:pPr>
              <w:pStyle w:val="ListParagraph"/>
              <w:autoSpaceDE w:val="0"/>
              <w:autoSpaceDN w:val="0"/>
              <w:adjustRightInd w:val="0"/>
              <w:ind w:left="0"/>
              <w:rPr>
                <w:rFonts w:ascii="Arial" w:hAnsi="Arial" w:cs="Arial"/>
              </w:rPr>
            </w:pPr>
            <w:r w:rsidRPr="00D50326">
              <w:rPr>
                <w:rFonts w:ascii="Arial" w:hAnsi="Arial" w:cs="Arial"/>
              </w:rPr>
              <w:t>Single parent with dependents – Male</w:t>
            </w:r>
          </w:p>
        </w:tc>
        <w:tc>
          <w:tcPr>
            <w:tcW w:w="1030" w:type="dxa"/>
          </w:tcPr>
          <w:p w:rsidRPr="00D50326" w:rsidR="00621767" w:rsidP="00C01279" w:rsidRDefault="009A23B2" w14:paraId="4B439AA0" w14:textId="77777777">
            <w:pPr>
              <w:pStyle w:val="ListParagraph"/>
              <w:autoSpaceDE w:val="0"/>
              <w:autoSpaceDN w:val="0"/>
              <w:adjustRightInd w:val="0"/>
              <w:ind w:left="0"/>
              <w:jc w:val="both"/>
              <w:rPr>
                <w:rFonts w:ascii="Arial" w:hAnsi="Arial" w:cs="Arial"/>
              </w:rPr>
            </w:pPr>
            <w:r w:rsidRPr="00D50326">
              <w:rPr>
                <w:rFonts w:ascii="Arial" w:hAnsi="Arial" w:cs="Arial"/>
              </w:rPr>
              <w:t>6</w:t>
            </w:r>
            <w:r w:rsidRPr="00D50326" w:rsidR="00F3580F">
              <w:rPr>
                <w:rFonts w:ascii="Arial" w:hAnsi="Arial" w:cs="Arial"/>
                <w:b/>
              </w:rPr>
              <w:t>/</w:t>
            </w:r>
            <w:r w:rsidRPr="00D50326" w:rsidR="00F3580F">
              <w:rPr>
                <w:rFonts w:ascii="Arial" w:hAnsi="Arial" w:cs="Arial"/>
              </w:rPr>
              <w:t>3%</w:t>
            </w:r>
          </w:p>
        </w:tc>
        <w:tc>
          <w:tcPr>
            <w:tcW w:w="1030" w:type="dxa"/>
          </w:tcPr>
          <w:p w:rsidRPr="00D50326" w:rsidR="00E17B10" w:rsidP="00C01279" w:rsidRDefault="009A23B2" w14:paraId="7B8FC968"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F3580F">
              <w:rPr>
                <w:rFonts w:ascii="Arial" w:hAnsi="Arial" w:cs="Arial"/>
              </w:rPr>
              <w:t>/1%</w:t>
            </w:r>
          </w:p>
        </w:tc>
        <w:tc>
          <w:tcPr>
            <w:tcW w:w="1030" w:type="dxa"/>
          </w:tcPr>
          <w:p w:rsidRPr="00D50326" w:rsidR="00E17B10" w:rsidP="00C01279" w:rsidRDefault="009A23B2" w14:paraId="562EA074" w14:textId="77777777">
            <w:pPr>
              <w:pStyle w:val="ListParagraph"/>
              <w:autoSpaceDE w:val="0"/>
              <w:autoSpaceDN w:val="0"/>
              <w:adjustRightInd w:val="0"/>
              <w:ind w:left="0"/>
              <w:jc w:val="both"/>
              <w:rPr>
                <w:rFonts w:ascii="Arial" w:hAnsi="Arial" w:cs="Arial"/>
              </w:rPr>
            </w:pPr>
            <w:r w:rsidRPr="00D50326">
              <w:rPr>
                <w:rFonts w:ascii="Arial" w:hAnsi="Arial" w:cs="Arial"/>
              </w:rPr>
              <w:t>2</w:t>
            </w:r>
            <w:r w:rsidRPr="00D50326" w:rsidR="00F3580F">
              <w:rPr>
                <w:rFonts w:ascii="Arial" w:hAnsi="Arial" w:cs="Arial"/>
              </w:rPr>
              <w:t>/4%</w:t>
            </w:r>
          </w:p>
        </w:tc>
        <w:tc>
          <w:tcPr>
            <w:tcW w:w="1030" w:type="dxa"/>
          </w:tcPr>
          <w:p w:rsidRPr="00D50326" w:rsidR="00E17B10" w:rsidP="00C01279" w:rsidRDefault="009A23B2" w14:paraId="55CE5DC7" w14:textId="77777777">
            <w:pPr>
              <w:pStyle w:val="ListParagraph"/>
              <w:autoSpaceDE w:val="0"/>
              <w:autoSpaceDN w:val="0"/>
              <w:adjustRightInd w:val="0"/>
              <w:ind w:left="0"/>
              <w:jc w:val="both"/>
              <w:rPr>
                <w:rFonts w:ascii="Arial" w:hAnsi="Arial" w:cs="Arial"/>
              </w:rPr>
            </w:pPr>
            <w:r w:rsidRPr="00D50326">
              <w:rPr>
                <w:rFonts w:ascii="Arial" w:hAnsi="Arial" w:cs="Arial"/>
              </w:rPr>
              <w:t>3</w:t>
            </w:r>
            <w:r w:rsidRPr="00D50326" w:rsidR="00F3580F">
              <w:rPr>
                <w:rFonts w:ascii="Arial" w:hAnsi="Arial" w:cs="Arial"/>
              </w:rPr>
              <w:t>/3%</w:t>
            </w:r>
          </w:p>
        </w:tc>
      </w:tr>
      <w:tr w:rsidRPr="00D50326" w:rsidR="00D50326" w:rsidTr="007A2718" w14:paraId="4C386426" w14:textId="77777777">
        <w:trPr>
          <w:cantSplit/>
        </w:trPr>
        <w:tc>
          <w:tcPr>
            <w:tcW w:w="2547" w:type="dxa"/>
          </w:tcPr>
          <w:p w:rsidRPr="00D50326" w:rsidR="00E17B10" w:rsidP="00E17B10" w:rsidRDefault="00E17B10" w14:paraId="6CA20152" w14:textId="77777777">
            <w:pPr>
              <w:pStyle w:val="ListParagraph"/>
              <w:autoSpaceDE w:val="0"/>
              <w:autoSpaceDN w:val="0"/>
              <w:adjustRightInd w:val="0"/>
              <w:ind w:left="0"/>
              <w:rPr>
                <w:rFonts w:ascii="Arial" w:hAnsi="Arial" w:cs="Arial"/>
              </w:rPr>
            </w:pPr>
            <w:r w:rsidRPr="00D50326">
              <w:rPr>
                <w:rFonts w:ascii="Arial" w:hAnsi="Arial" w:cs="Arial"/>
              </w:rPr>
              <w:t>Single parent with dependents - Female</w:t>
            </w:r>
          </w:p>
        </w:tc>
        <w:tc>
          <w:tcPr>
            <w:tcW w:w="1030" w:type="dxa"/>
          </w:tcPr>
          <w:p w:rsidRPr="00D50326" w:rsidR="00E17B10" w:rsidP="00C01279" w:rsidRDefault="009A23B2" w14:paraId="1E19A45F" w14:textId="77777777">
            <w:pPr>
              <w:pStyle w:val="ListParagraph"/>
              <w:autoSpaceDE w:val="0"/>
              <w:autoSpaceDN w:val="0"/>
              <w:adjustRightInd w:val="0"/>
              <w:ind w:left="0"/>
              <w:jc w:val="both"/>
              <w:rPr>
                <w:rFonts w:ascii="Arial" w:hAnsi="Arial" w:cs="Arial"/>
              </w:rPr>
            </w:pPr>
            <w:r w:rsidRPr="00D50326">
              <w:rPr>
                <w:rFonts w:ascii="Arial" w:hAnsi="Arial" w:cs="Arial"/>
              </w:rPr>
              <w:t>21</w:t>
            </w:r>
            <w:r w:rsidRPr="00D50326" w:rsidR="00F3580F">
              <w:rPr>
                <w:rFonts w:ascii="Arial" w:hAnsi="Arial" w:cs="Arial"/>
              </w:rPr>
              <w:t>/26%</w:t>
            </w:r>
          </w:p>
        </w:tc>
        <w:tc>
          <w:tcPr>
            <w:tcW w:w="1030" w:type="dxa"/>
          </w:tcPr>
          <w:p w:rsidRPr="00D50326" w:rsidR="00E17B10" w:rsidP="00C01279" w:rsidRDefault="009A23B2" w14:paraId="58C39478" w14:textId="77777777">
            <w:pPr>
              <w:pStyle w:val="ListParagraph"/>
              <w:autoSpaceDE w:val="0"/>
              <w:autoSpaceDN w:val="0"/>
              <w:adjustRightInd w:val="0"/>
              <w:ind w:left="0"/>
              <w:jc w:val="both"/>
              <w:rPr>
                <w:rFonts w:ascii="Arial" w:hAnsi="Arial" w:cs="Arial"/>
              </w:rPr>
            </w:pPr>
            <w:r w:rsidRPr="00D50326">
              <w:rPr>
                <w:rFonts w:ascii="Arial" w:hAnsi="Arial" w:cs="Arial"/>
              </w:rPr>
              <w:t>19</w:t>
            </w:r>
            <w:r w:rsidRPr="00D50326" w:rsidR="00C01279">
              <w:rPr>
                <w:rFonts w:ascii="Arial" w:hAnsi="Arial" w:cs="Arial"/>
              </w:rPr>
              <w:t>/9%</w:t>
            </w:r>
          </w:p>
        </w:tc>
        <w:tc>
          <w:tcPr>
            <w:tcW w:w="1030" w:type="dxa"/>
          </w:tcPr>
          <w:p w:rsidRPr="00D50326" w:rsidR="00E17B10" w:rsidP="009A23B2" w:rsidRDefault="009A23B2" w14:paraId="6223B621" w14:textId="77777777">
            <w:pPr>
              <w:pStyle w:val="ListParagraph"/>
              <w:autoSpaceDE w:val="0"/>
              <w:autoSpaceDN w:val="0"/>
              <w:adjustRightInd w:val="0"/>
              <w:ind w:left="0"/>
              <w:jc w:val="both"/>
              <w:rPr>
                <w:rFonts w:ascii="Arial" w:hAnsi="Arial" w:cs="Arial"/>
              </w:rPr>
            </w:pPr>
            <w:r w:rsidRPr="00D50326">
              <w:rPr>
                <w:rFonts w:ascii="Arial" w:hAnsi="Arial" w:cs="Arial"/>
              </w:rPr>
              <w:t>25</w:t>
            </w:r>
            <w:r w:rsidRPr="00D50326" w:rsidR="00C01279">
              <w:rPr>
                <w:rFonts w:ascii="Arial" w:hAnsi="Arial" w:cs="Arial"/>
              </w:rPr>
              <w:t>/17%</w:t>
            </w:r>
          </w:p>
        </w:tc>
        <w:tc>
          <w:tcPr>
            <w:tcW w:w="1030" w:type="dxa"/>
          </w:tcPr>
          <w:p w:rsidRPr="00D50326" w:rsidR="00E17B10" w:rsidP="009A23B2" w:rsidRDefault="009A23B2" w14:paraId="0F0EF778" w14:textId="77777777">
            <w:pPr>
              <w:pStyle w:val="ListParagraph"/>
              <w:autoSpaceDE w:val="0"/>
              <w:autoSpaceDN w:val="0"/>
              <w:adjustRightInd w:val="0"/>
              <w:ind w:left="0"/>
              <w:jc w:val="both"/>
              <w:rPr>
                <w:rFonts w:ascii="Arial" w:hAnsi="Arial" w:cs="Arial"/>
              </w:rPr>
            </w:pPr>
            <w:r w:rsidRPr="00D50326">
              <w:rPr>
                <w:rFonts w:ascii="Arial" w:hAnsi="Arial" w:cs="Arial"/>
              </w:rPr>
              <w:t>30</w:t>
            </w:r>
            <w:r w:rsidRPr="00D50326" w:rsidR="00C01279">
              <w:rPr>
                <w:rFonts w:ascii="Arial" w:hAnsi="Arial" w:cs="Arial"/>
              </w:rPr>
              <w:t>/20</w:t>
            </w:r>
            <w:r w:rsidRPr="00D50326">
              <w:rPr>
                <w:rFonts w:ascii="Arial" w:hAnsi="Arial" w:cs="Arial"/>
              </w:rPr>
              <w:t>%</w:t>
            </w:r>
          </w:p>
        </w:tc>
      </w:tr>
      <w:tr w:rsidRPr="00D50326" w:rsidR="00D50326" w:rsidTr="007A2718" w14:paraId="6B76B7E0" w14:textId="77777777">
        <w:trPr>
          <w:cantSplit/>
        </w:trPr>
        <w:tc>
          <w:tcPr>
            <w:tcW w:w="2547" w:type="dxa"/>
          </w:tcPr>
          <w:p w:rsidRPr="00D50326" w:rsidR="00E17B10" w:rsidP="00E17B10" w:rsidRDefault="00E17B10" w14:paraId="2A66F06E" w14:textId="77777777">
            <w:pPr>
              <w:pStyle w:val="ListParagraph"/>
              <w:autoSpaceDE w:val="0"/>
              <w:autoSpaceDN w:val="0"/>
              <w:adjustRightInd w:val="0"/>
              <w:ind w:left="0"/>
              <w:rPr>
                <w:rFonts w:ascii="Arial" w:hAnsi="Arial" w:cs="Arial"/>
              </w:rPr>
            </w:pPr>
            <w:r w:rsidRPr="00D50326">
              <w:rPr>
                <w:rFonts w:ascii="Arial" w:hAnsi="Arial" w:cs="Arial"/>
              </w:rPr>
              <w:t>Single parent with dependents – Other/Gender not specified</w:t>
            </w:r>
          </w:p>
        </w:tc>
        <w:tc>
          <w:tcPr>
            <w:tcW w:w="1030" w:type="dxa"/>
          </w:tcPr>
          <w:p w:rsidRPr="00D50326" w:rsidR="00E17B10" w:rsidP="009A23B2" w:rsidRDefault="009A23B2" w14:paraId="4A2271A5"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c>
          <w:tcPr>
            <w:tcW w:w="1030" w:type="dxa"/>
          </w:tcPr>
          <w:p w:rsidRPr="00D50326" w:rsidR="00E17B10" w:rsidP="009A23B2" w:rsidRDefault="009A23B2" w14:paraId="266E9DEF"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c>
          <w:tcPr>
            <w:tcW w:w="1030" w:type="dxa"/>
          </w:tcPr>
          <w:p w:rsidRPr="00D50326" w:rsidR="00E17B10" w:rsidP="009A23B2" w:rsidRDefault="009A23B2" w14:paraId="7CADAF3D"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c>
          <w:tcPr>
            <w:tcW w:w="1030" w:type="dxa"/>
          </w:tcPr>
          <w:p w:rsidRPr="00D50326" w:rsidR="00E17B10" w:rsidP="009A23B2" w:rsidRDefault="009A23B2" w14:paraId="2E28BA10"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r>
      <w:tr w:rsidRPr="00D50326" w:rsidR="00D50326" w:rsidTr="007A2718" w14:paraId="3A775ED0" w14:textId="77777777">
        <w:trPr>
          <w:cantSplit/>
        </w:trPr>
        <w:tc>
          <w:tcPr>
            <w:tcW w:w="2547" w:type="dxa"/>
          </w:tcPr>
          <w:p w:rsidRPr="00D50326" w:rsidR="00E17B10" w:rsidP="00E17B10" w:rsidRDefault="00E17B10" w14:paraId="4478F1D4" w14:textId="77777777">
            <w:pPr>
              <w:pStyle w:val="ListParagraph"/>
              <w:autoSpaceDE w:val="0"/>
              <w:autoSpaceDN w:val="0"/>
              <w:adjustRightInd w:val="0"/>
              <w:ind w:left="0"/>
              <w:rPr>
                <w:rFonts w:ascii="Arial" w:hAnsi="Arial" w:cs="Arial"/>
              </w:rPr>
            </w:pPr>
            <w:r w:rsidRPr="00D50326">
              <w:rPr>
                <w:rFonts w:ascii="Arial" w:hAnsi="Arial" w:cs="Arial"/>
              </w:rPr>
              <w:t>Single adult - Male</w:t>
            </w:r>
          </w:p>
        </w:tc>
        <w:tc>
          <w:tcPr>
            <w:tcW w:w="1030" w:type="dxa"/>
          </w:tcPr>
          <w:p w:rsidRPr="00D50326" w:rsidR="00E17B10" w:rsidP="009A23B2" w:rsidRDefault="009A23B2" w14:paraId="6EE229C1" w14:textId="77777777">
            <w:pPr>
              <w:pStyle w:val="ListParagraph"/>
              <w:autoSpaceDE w:val="0"/>
              <w:autoSpaceDN w:val="0"/>
              <w:adjustRightInd w:val="0"/>
              <w:ind w:left="0"/>
              <w:jc w:val="both"/>
              <w:rPr>
                <w:rFonts w:ascii="Arial" w:hAnsi="Arial" w:cs="Arial"/>
              </w:rPr>
            </w:pPr>
            <w:r w:rsidRPr="00D50326">
              <w:rPr>
                <w:rFonts w:ascii="Arial" w:hAnsi="Arial" w:cs="Arial"/>
              </w:rPr>
              <w:t>25</w:t>
            </w:r>
            <w:r w:rsidRPr="00D50326" w:rsidR="00C01279">
              <w:rPr>
                <w:rFonts w:ascii="Arial" w:hAnsi="Arial" w:cs="Arial"/>
              </w:rPr>
              <w:t>/33</w:t>
            </w:r>
            <w:r w:rsidRPr="00D50326">
              <w:rPr>
                <w:rFonts w:ascii="Arial" w:hAnsi="Arial" w:cs="Arial"/>
              </w:rPr>
              <w:t>%</w:t>
            </w:r>
          </w:p>
        </w:tc>
        <w:tc>
          <w:tcPr>
            <w:tcW w:w="1030" w:type="dxa"/>
          </w:tcPr>
          <w:p w:rsidRPr="00D50326" w:rsidR="00E17B10" w:rsidP="009A23B2" w:rsidRDefault="009A23B2" w14:paraId="7568C5D9" w14:textId="77777777">
            <w:pPr>
              <w:pStyle w:val="ListParagraph"/>
              <w:autoSpaceDE w:val="0"/>
              <w:autoSpaceDN w:val="0"/>
              <w:adjustRightInd w:val="0"/>
              <w:ind w:left="0"/>
              <w:jc w:val="both"/>
              <w:rPr>
                <w:rFonts w:ascii="Arial" w:hAnsi="Arial" w:cs="Arial"/>
              </w:rPr>
            </w:pPr>
            <w:r w:rsidRPr="00D50326">
              <w:rPr>
                <w:rFonts w:ascii="Arial" w:hAnsi="Arial" w:cs="Arial"/>
              </w:rPr>
              <w:t>43</w:t>
            </w:r>
            <w:r w:rsidRPr="00D50326" w:rsidR="00C01279">
              <w:rPr>
                <w:rFonts w:ascii="Arial" w:hAnsi="Arial" w:cs="Arial"/>
              </w:rPr>
              <w:t>/60</w:t>
            </w:r>
            <w:r w:rsidRPr="00D50326">
              <w:rPr>
                <w:rFonts w:ascii="Arial" w:hAnsi="Arial" w:cs="Arial"/>
              </w:rPr>
              <w:t>%</w:t>
            </w:r>
          </w:p>
        </w:tc>
        <w:tc>
          <w:tcPr>
            <w:tcW w:w="1030" w:type="dxa"/>
          </w:tcPr>
          <w:p w:rsidRPr="00D50326" w:rsidR="00E17B10" w:rsidP="009A23B2" w:rsidRDefault="009A23B2" w14:paraId="4F7B1609" w14:textId="77777777">
            <w:pPr>
              <w:pStyle w:val="ListParagraph"/>
              <w:autoSpaceDE w:val="0"/>
              <w:autoSpaceDN w:val="0"/>
              <w:adjustRightInd w:val="0"/>
              <w:ind w:left="0"/>
              <w:jc w:val="both"/>
              <w:rPr>
                <w:rFonts w:ascii="Arial" w:hAnsi="Arial" w:cs="Arial"/>
              </w:rPr>
            </w:pPr>
            <w:r w:rsidRPr="00D50326">
              <w:rPr>
                <w:rFonts w:ascii="Arial" w:hAnsi="Arial" w:cs="Arial"/>
              </w:rPr>
              <w:t>31</w:t>
            </w:r>
            <w:r w:rsidRPr="00D50326" w:rsidR="00C01279">
              <w:rPr>
                <w:rFonts w:ascii="Arial" w:hAnsi="Arial" w:cs="Arial"/>
              </w:rPr>
              <w:t>/45</w:t>
            </w:r>
            <w:r w:rsidRPr="00D50326">
              <w:rPr>
                <w:rFonts w:ascii="Arial" w:hAnsi="Arial" w:cs="Arial"/>
              </w:rPr>
              <w:t>%</w:t>
            </w:r>
          </w:p>
        </w:tc>
        <w:tc>
          <w:tcPr>
            <w:tcW w:w="1030" w:type="dxa"/>
          </w:tcPr>
          <w:p w:rsidRPr="00D50326" w:rsidR="00E17B10" w:rsidP="00C01279" w:rsidRDefault="009A23B2" w14:paraId="40092904" w14:textId="77777777">
            <w:pPr>
              <w:pStyle w:val="ListParagraph"/>
              <w:autoSpaceDE w:val="0"/>
              <w:autoSpaceDN w:val="0"/>
              <w:adjustRightInd w:val="0"/>
              <w:ind w:left="0"/>
              <w:jc w:val="both"/>
              <w:rPr>
                <w:rFonts w:ascii="Arial" w:hAnsi="Arial" w:cs="Arial"/>
              </w:rPr>
            </w:pPr>
            <w:r w:rsidRPr="00D50326">
              <w:rPr>
                <w:rFonts w:ascii="Arial" w:hAnsi="Arial" w:cs="Arial"/>
              </w:rPr>
              <w:t>23</w:t>
            </w:r>
            <w:r w:rsidRPr="00D50326" w:rsidR="00C01279">
              <w:rPr>
                <w:rFonts w:ascii="Arial" w:hAnsi="Arial" w:cs="Arial"/>
              </w:rPr>
              <w:t>/45</w:t>
            </w:r>
            <w:r w:rsidRPr="00D50326">
              <w:rPr>
                <w:rFonts w:ascii="Arial" w:hAnsi="Arial" w:cs="Arial"/>
              </w:rPr>
              <w:t>%</w:t>
            </w:r>
          </w:p>
        </w:tc>
      </w:tr>
      <w:tr w:rsidRPr="00D50326" w:rsidR="00D50326" w:rsidTr="007A2718" w14:paraId="503BE502" w14:textId="77777777">
        <w:trPr>
          <w:cantSplit/>
        </w:trPr>
        <w:tc>
          <w:tcPr>
            <w:tcW w:w="2547" w:type="dxa"/>
          </w:tcPr>
          <w:p w:rsidRPr="00D50326" w:rsidR="00E17B10" w:rsidP="00E17B10" w:rsidRDefault="00E17B10" w14:paraId="107D1BAB" w14:textId="77777777">
            <w:pPr>
              <w:pStyle w:val="ListParagraph"/>
              <w:autoSpaceDE w:val="0"/>
              <w:autoSpaceDN w:val="0"/>
              <w:adjustRightInd w:val="0"/>
              <w:ind w:left="0"/>
              <w:rPr>
                <w:rFonts w:ascii="Arial" w:hAnsi="Arial" w:cs="Arial"/>
              </w:rPr>
            </w:pPr>
            <w:r w:rsidRPr="00D50326">
              <w:rPr>
                <w:rFonts w:ascii="Arial" w:hAnsi="Arial" w:cs="Arial"/>
              </w:rPr>
              <w:t>Single adult - Female</w:t>
            </w:r>
          </w:p>
        </w:tc>
        <w:tc>
          <w:tcPr>
            <w:tcW w:w="1030" w:type="dxa"/>
          </w:tcPr>
          <w:p w:rsidRPr="00D50326" w:rsidR="00E17B10" w:rsidP="009A23B2" w:rsidRDefault="009A23B2" w14:paraId="2A9B3B40" w14:textId="77777777">
            <w:pPr>
              <w:pStyle w:val="ListParagraph"/>
              <w:autoSpaceDE w:val="0"/>
              <w:autoSpaceDN w:val="0"/>
              <w:adjustRightInd w:val="0"/>
              <w:ind w:left="0"/>
              <w:jc w:val="both"/>
              <w:rPr>
                <w:rFonts w:ascii="Arial" w:hAnsi="Arial" w:cs="Arial"/>
              </w:rPr>
            </w:pPr>
            <w:r w:rsidRPr="00D50326">
              <w:rPr>
                <w:rFonts w:ascii="Arial" w:hAnsi="Arial" w:cs="Arial"/>
              </w:rPr>
              <w:t>29</w:t>
            </w:r>
            <w:r w:rsidRPr="00D50326" w:rsidR="00C01279">
              <w:rPr>
                <w:rFonts w:ascii="Arial" w:hAnsi="Arial" w:cs="Arial"/>
              </w:rPr>
              <w:t>/29</w:t>
            </w:r>
            <w:r w:rsidRPr="00D50326">
              <w:rPr>
                <w:rFonts w:ascii="Arial" w:hAnsi="Arial" w:cs="Arial"/>
              </w:rPr>
              <w:t>%</w:t>
            </w:r>
          </w:p>
        </w:tc>
        <w:tc>
          <w:tcPr>
            <w:tcW w:w="1030" w:type="dxa"/>
          </w:tcPr>
          <w:p w:rsidRPr="00D50326" w:rsidR="00E17B10" w:rsidP="009A23B2" w:rsidRDefault="009A23B2" w14:paraId="203CCEB5" w14:textId="77777777">
            <w:pPr>
              <w:pStyle w:val="ListParagraph"/>
              <w:autoSpaceDE w:val="0"/>
              <w:autoSpaceDN w:val="0"/>
              <w:adjustRightInd w:val="0"/>
              <w:ind w:left="0"/>
              <w:jc w:val="both"/>
              <w:rPr>
                <w:rFonts w:ascii="Arial" w:hAnsi="Arial" w:cs="Arial"/>
              </w:rPr>
            </w:pPr>
            <w:r w:rsidRPr="00D50326">
              <w:rPr>
                <w:rFonts w:ascii="Arial" w:hAnsi="Arial" w:cs="Arial"/>
              </w:rPr>
              <w:t>23</w:t>
            </w:r>
            <w:r w:rsidRPr="00D50326" w:rsidR="00C01279">
              <w:rPr>
                <w:rFonts w:ascii="Arial" w:hAnsi="Arial" w:cs="Arial"/>
              </w:rPr>
              <w:t>/23</w:t>
            </w:r>
            <w:r w:rsidRPr="00D50326">
              <w:rPr>
                <w:rFonts w:ascii="Arial" w:hAnsi="Arial" w:cs="Arial"/>
              </w:rPr>
              <w:t>%</w:t>
            </w:r>
          </w:p>
        </w:tc>
        <w:tc>
          <w:tcPr>
            <w:tcW w:w="1030" w:type="dxa"/>
          </w:tcPr>
          <w:p w:rsidRPr="00D50326" w:rsidR="00E17B10" w:rsidP="009A23B2" w:rsidRDefault="009A23B2" w14:paraId="57D2C208" w14:textId="77777777">
            <w:pPr>
              <w:pStyle w:val="ListParagraph"/>
              <w:autoSpaceDE w:val="0"/>
              <w:autoSpaceDN w:val="0"/>
              <w:adjustRightInd w:val="0"/>
              <w:ind w:left="0"/>
              <w:jc w:val="both"/>
              <w:rPr>
                <w:rFonts w:ascii="Arial" w:hAnsi="Arial" w:cs="Arial"/>
              </w:rPr>
            </w:pPr>
            <w:r w:rsidRPr="00D50326">
              <w:rPr>
                <w:rFonts w:ascii="Arial" w:hAnsi="Arial" w:cs="Arial"/>
              </w:rPr>
              <w:t>17</w:t>
            </w:r>
            <w:r w:rsidRPr="00D50326" w:rsidR="00C01279">
              <w:rPr>
                <w:rFonts w:ascii="Arial" w:hAnsi="Arial" w:cs="Arial"/>
              </w:rPr>
              <w:t>/16</w:t>
            </w:r>
            <w:r w:rsidRPr="00D50326">
              <w:rPr>
                <w:rFonts w:ascii="Arial" w:hAnsi="Arial" w:cs="Arial"/>
              </w:rPr>
              <w:t>%</w:t>
            </w:r>
          </w:p>
        </w:tc>
        <w:tc>
          <w:tcPr>
            <w:tcW w:w="1030" w:type="dxa"/>
          </w:tcPr>
          <w:p w:rsidRPr="00D50326" w:rsidR="00E17B10" w:rsidP="009A23B2" w:rsidRDefault="009A23B2" w14:paraId="4B6A834C" w14:textId="77777777">
            <w:pPr>
              <w:pStyle w:val="ListParagraph"/>
              <w:autoSpaceDE w:val="0"/>
              <w:autoSpaceDN w:val="0"/>
              <w:adjustRightInd w:val="0"/>
              <w:ind w:left="0"/>
              <w:jc w:val="both"/>
              <w:rPr>
                <w:rFonts w:ascii="Arial" w:hAnsi="Arial" w:cs="Arial"/>
              </w:rPr>
            </w:pPr>
            <w:r w:rsidRPr="00D50326">
              <w:rPr>
                <w:rFonts w:ascii="Arial" w:hAnsi="Arial" w:cs="Arial"/>
              </w:rPr>
              <w:t>20</w:t>
            </w:r>
            <w:r w:rsidRPr="00D50326" w:rsidR="00C01279">
              <w:rPr>
                <w:rFonts w:ascii="Arial" w:hAnsi="Arial" w:cs="Arial"/>
              </w:rPr>
              <w:t>/21</w:t>
            </w:r>
            <w:r w:rsidRPr="00D50326">
              <w:rPr>
                <w:rFonts w:ascii="Arial" w:hAnsi="Arial" w:cs="Arial"/>
              </w:rPr>
              <w:t>%</w:t>
            </w:r>
          </w:p>
        </w:tc>
      </w:tr>
      <w:tr w:rsidRPr="00D50326" w:rsidR="00D50326" w:rsidTr="007A2718" w14:paraId="513A6372" w14:textId="77777777">
        <w:trPr>
          <w:cantSplit/>
        </w:trPr>
        <w:tc>
          <w:tcPr>
            <w:tcW w:w="2547" w:type="dxa"/>
          </w:tcPr>
          <w:p w:rsidRPr="00D50326" w:rsidR="00E17B10" w:rsidP="00E17B10" w:rsidRDefault="00E17B10" w14:paraId="24CD54DF" w14:textId="77777777">
            <w:pPr>
              <w:pStyle w:val="ListParagraph"/>
              <w:autoSpaceDE w:val="0"/>
              <w:autoSpaceDN w:val="0"/>
              <w:adjustRightInd w:val="0"/>
              <w:ind w:left="0"/>
              <w:rPr>
                <w:rFonts w:ascii="Arial" w:hAnsi="Arial" w:cs="Arial"/>
              </w:rPr>
            </w:pPr>
            <w:r w:rsidRPr="00D50326">
              <w:rPr>
                <w:rFonts w:ascii="Arial" w:hAnsi="Arial" w:cs="Arial"/>
              </w:rPr>
              <w:t>Single adult – Other/gender not specified</w:t>
            </w:r>
          </w:p>
        </w:tc>
        <w:tc>
          <w:tcPr>
            <w:tcW w:w="1030" w:type="dxa"/>
          </w:tcPr>
          <w:p w:rsidRPr="00D50326" w:rsidR="00E17B10" w:rsidP="009A23B2" w:rsidRDefault="009A23B2" w14:paraId="743DAC00"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c>
          <w:tcPr>
            <w:tcW w:w="1030" w:type="dxa"/>
          </w:tcPr>
          <w:p w:rsidRPr="00D50326" w:rsidR="00E17B10" w:rsidP="009A23B2" w:rsidRDefault="009A23B2" w14:paraId="7CFC76A7"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c>
          <w:tcPr>
            <w:tcW w:w="1030" w:type="dxa"/>
          </w:tcPr>
          <w:p w:rsidRPr="00D50326" w:rsidR="00E17B10" w:rsidP="009A23B2" w:rsidRDefault="009A23B2" w14:paraId="7C60F234"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r w:rsidRPr="00D50326">
              <w:rPr>
                <w:rFonts w:ascii="Arial" w:hAnsi="Arial" w:cs="Arial"/>
              </w:rPr>
              <w:t>%</w:t>
            </w:r>
          </w:p>
        </w:tc>
        <w:tc>
          <w:tcPr>
            <w:tcW w:w="1030" w:type="dxa"/>
          </w:tcPr>
          <w:p w:rsidRPr="00D50326" w:rsidR="00E17B10" w:rsidP="009A23B2" w:rsidRDefault="00C01279" w14:paraId="2E38B9BD" w14:textId="77777777">
            <w:pPr>
              <w:pStyle w:val="ListParagraph"/>
              <w:autoSpaceDE w:val="0"/>
              <w:autoSpaceDN w:val="0"/>
              <w:adjustRightInd w:val="0"/>
              <w:ind w:left="0"/>
              <w:jc w:val="both"/>
              <w:rPr>
                <w:rFonts w:ascii="Arial" w:hAnsi="Arial" w:cs="Arial"/>
              </w:rPr>
            </w:pPr>
            <w:r w:rsidRPr="00D50326">
              <w:rPr>
                <w:rFonts w:ascii="Arial" w:hAnsi="Arial" w:cs="Arial"/>
              </w:rPr>
              <w:t>0/1</w:t>
            </w:r>
            <w:r w:rsidRPr="00D50326" w:rsidR="009A23B2">
              <w:rPr>
                <w:rFonts w:ascii="Arial" w:hAnsi="Arial" w:cs="Arial"/>
              </w:rPr>
              <w:t>%</w:t>
            </w:r>
          </w:p>
        </w:tc>
      </w:tr>
      <w:tr w:rsidRPr="00D50326" w:rsidR="00D50326" w:rsidTr="007A2718" w14:paraId="315A11C3" w14:textId="77777777">
        <w:trPr>
          <w:cantSplit/>
        </w:trPr>
        <w:tc>
          <w:tcPr>
            <w:tcW w:w="2547" w:type="dxa"/>
          </w:tcPr>
          <w:p w:rsidRPr="00D50326" w:rsidR="00E17B10" w:rsidP="00E17B10" w:rsidRDefault="00E17B10" w14:paraId="4805F9CF" w14:textId="77777777">
            <w:pPr>
              <w:pStyle w:val="ListParagraph"/>
              <w:autoSpaceDE w:val="0"/>
              <w:autoSpaceDN w:val="0"/>
              <w:adjustRightInd w:val="0"/>
              <w:ind w:left="0"/>
              <w:rPr>
                <w:rFonts w:ascii="Arial" w:hAnsi="Arial" w:cs="Arial"/>
              </w:rPr>
            </w:pPr>
            <w:r w:rsidRPr="00D50326">
              <w:rPr>
                <w:rFonts w:ascii="Arial" w:hAnsi="Arial" w:cs="Arial"/>
              </w:rPr>
              <w:t>Couple with dependent children</w:t>
            </w:r>
          </w:p>
        </w:tc>
        <w:tc>
          <w:tcPr>
            <w:tcW w:w="1030" w:type="dxa"/>
          </w:tcPr>
          <w:p w:rsidRPr="00D50326" w:rsidR="00E17B10" w:rsidP="009A23B2" w:rsidRDefault="009A23B2" w14:paraId="284D5B88" w14:textId="77777777">
            <w:pPr>
              <w:pStyle w:val="ListParagraph"/>
              <w:autoSpaceDE w:val="0"/>
              <w:autoSpaceDN w:val="0"/>
              <w:adjustRightInd w:val="0"/>
              <w:ind w:left="0"/>
              <w:jc w:val="both"/>
              <w:rPr>
                <w:rFonts w:ascii="Arial" w:hAnsi="Arial" w:cs="Arial"/>
              </w:rPr>
            </w:pPr>
            <w:r w:rsidRPr="00D50326">
              <w:rPr>
                <w:rFonts w:ascii="Arial" w:hAnsi="Arial" w:cs="Arial"/>
              </w:rPr>
              <w:t>8</w:t>
            </w:r>
            <w:r w:rsidRPr="00D50326" w:rsidR="00C01279">
              <w:rPr>
                <w:rFonts w:ascii="Arial" w:hAnsi="Arial" w:cs="Arial"/>
              </w:rPr>
              <w:t>/4</w:t>
            </w:r>
            <w:r w:rsidRPr="00D50326">
              <w:rPr>
                <w:rFonts w:ascii="Arial" w:hAnsi="Arial" w:cs="Arial"/>
              </w:rPr>
              <w:t>%</w:t>
            </w:r>
          </w:p>
        </w:tc>
        <w:tc>
          <w:tcPr>
            <w:tcW w:w="1030" w:type="dxa"/>
          </w:tcPr>
          <w:p w:rsidRPr="00D50326" w:rsidR="00E17B10" w:rsidP="009A23B2" w:rsidRDefault="009A23B2" w14:paraId="3ABD485F" w14:textId="77777777">
            <w:pPr>
              <w:pStyle w:val="ListParagraph"/>
              <w:autoSpaceDE w:val="0"/>
              <w:autoSpaceDN w:val="0"/>
              <w:adjustRightInd w:val="0"/>
              <w:ind w:left="0"/>
              <w:jc w:val="both"/>
              <w:rPr>
                <w:rFonts w:ascii="Arial" w:hAnsi="Arial" w:cs="Arial"/>
              </w:rPr>
            </w:pPr>
            <w:r w:rsidRPr="00D50326">
              <w:rPr>
                <w:rFonts w:ascii="Arial" w:hAnsi="Arial" w:cs="Arial"/>
              </w:rPr>
              <w:t>8</w:t>
            </w:r>
            <w:r w:rsidRPr="00D50326" w:rsidR="00C01279">
              <w:rPr>
                <w:rFonts w:ascii="Arial" w:hAnsi="Arial" w:cs="Arial"/>
              </w:rPr>
              <w:t>/1</w:t>
            </w:r>
            <w:r w:rsidRPr="00D50326">
              <w:rPr>
                <w:rFonts w:ascii="Arial" w:hAnsi="Arial" w:cs="Arial"/>
              </w:rPr>
              <w:t>%</w:t>
            </w:r>
          </w:p>
        </w:tc>
        <w:tc>
          <w:tcPr>
            <w:tcW w:w="1030" w:type="dxa"/>
          </w:tcPr>
          <w:p w:rsidRPr="00D50326" w:rsidR="00E17B10" w:rsidP="009A23B2" w:rsidRDefault="009A23B2" w14:paraId="0A8E47CC" w14:textId="77777777">
            <w:pPr>
              <w:pStyle w:val="ListParagraph"/>
              <w:autoSpaceDE w:val="0"/>
              <w:autoSpaceDN w:val="0"/>
              <w:adjustRightInd w:val="0"/>
              <w:ind w:left="0"/>
              <w:jc w:val="both"/>
              <w:rPr>
                <w:rFonts w:ascii="Arial" w:hAnsi="Arial" w:cs="Arial"/>
              </w:rPr>
            </w:pPr>
            <w:r w:rsidRPr="00D50326">
              <w:rPr>
                <w:rFonts w:ascii="Arial" w:hAnsi="Arial" w:cs="Arial"/>
              </w:rPr>
              <w:t>8</w:t>
            </w:r>
            <w:r w:rsidRPr="00D50326" w:rsidR="00C01279">
              <w:rPr>
                <w:rFonts w:ascii="Arial" w:hAnsi="Arial" w:cs="Arial"/>
              </w:rPr>
              <w:t>/10</w:t>
            </w:r>
            <w:r w:rsidRPr="00D50326">
              <w:rPr>
                <w:rFonts w:ascii="Arial" w:hAnsi="Arial" w:cs="Arial"/>
              </w:rPr>
              <w:t>%</w:t>
            </w:r>
          </w:p>
        </w:tc>
        <w:tc>
          <w:tcPr>
            <w:tcW w:w="1030" w:type="dxa"/>
          </w:tcPr>
          <w:p w:rsidRPr="00D50326" w:rsidR="00E17B10" w:rsidP="009A23B2" w:rsidRDefault="009A23B2" w14:paraId="0F650413" w14:textId="77777777">
            <w:pPr>
              <w:pStyle w:val="ListParagraph"/>
              <w:autoSpaceDE w:val="0"/>
              <w:autoSpaceDN w:val="0"/>
              <w:adjustRightInd w:val="0"/>
              <w:ind w:left="0"/>
              <w:jc w:val="both"/>
              <w:rPr>
                <w:rFonts w:ascii="Arial" w:hAnsi="Arial" w:cs="Arial"/>
              </w:rPr>
            </w:pPr>
            <w:r w:rsidRPr="00D50326">
              <w:rPr>
                <w:rFonts w:ascii="Arial" w:hAnsi="Arial" w:cs="Arial"/>
              </w:rPr>
              <w:t>13</w:t>
            </w:r>
            <w:r w:rsidRPr="00D50326" w:rsidR="00C01279">
              <w:rPr>
                <w:rFonts w:ascii="Arial" w:hAnsi="Arial" w:cs="Arial"/>
              </w:rPr>
              <w:t>/5</w:t>
            </w:r>
            <w:r w:rsidRPr="00D50326">
              <w:rPr>
                <w:rFonts w:ascii="Arial" w:hAnsi="Arial" w:cs="Arial"/>
              </w:rPr>
              <w:t>%</w:t>
            </w:r>
          </w:p>
        </w:tc>
      </w:tr>
      <w:tr w:rsidRPr="00D50326" w:rsidR="00D50326" w:rsidTr="007A2718" w14:paraId="2721E580" w14:textId="77777777">
        <w:trPr>
          <w:cantSplit/>
        </w:trPr>
        <w:tc>
          <w:tcPr>
            <w:tcW w:w="2547" w:type="dxa"/>
          </w:tcPr>
          <w:p w:rsidRPr="00D50326" w:rsidR="00621767" w:rsidP="00E17B10" w:rsidRDefault="00621767" w14:paraId="67683CE8" w14:textId="77777777">
            <w:pPr>
              <w:pStyle w:val="ListParagraph"/>
              <w:autoSpaceDE w:val="0"/>
              <w:autoSpaceDN w:val="0"/>
              <w:adjustRightInd w:val="0"/>
              <w:ind w:left="0"/>
              <w:rPr>
                <w:rFonts w:ascii="Arial" w:hAnsi="Arial" w:cs="Arial"/>
              </w:rPr>
            </w:pPr>
            <w:r w:rsidRPr="00D50326">
              <w:rPr>
                <w:rFonts w:ascii="Arial" w:hAnsi="Arial" w:cs="Arial"/>
              </w:rPr>
              <w:t>Couple/two adults without dependent children</w:t>
            </w:r>
          </w:p>
        </w:tc>
        <w:tc>
          <w:tcPr>
            <w:tcW w:w="1030" w:type="dxa"/>
          </w:tcPr>
          <w:p w:rsidRPr="00D50326" w:rsidR="00621767" w:rsidP="009A23B2" w:rsidRDefault="00881FA2" w14:paraId="24F56CAB" w14:textId="77777777">
            <w:pPr>
              <w:pStyle w:val="ListParagraph"/>
              <w:autoSpaceDE w:val="0"/>
              <w:autoSpaceDN w:val="0"/>
              <w:adjustRightInd w:val="0"/>
              <w:ind w:left="0"/>
              <w:jc w:val="both"/>
              <w:rPr>
                <w:rFonts w:ascii="Arial" w:hAnsi="Arial" w:cs="Arial"/>
              </w:rPr>
            </w:pPr>
            <w:r w:rsidRPr="00D50326">
              <w:rPr>
                <w:rFonts w:ascii="Arial" w:hAnsi="Arial" w:cs="Arial"/>
              </w:rPr>
              <w:t>10</w:t>
            </w:r>
            <w:r w:rsidRPr="00D50326" w:rsidR="00C01279">
              <w:rPr>
                <w:rFonts w:ascii="Arial" w:hAnsi="Arial" w:cs="Arial"/>
              </w:rPr>
              <w:t>/4</w:t>
            </w:r>
            <w:r w:rsidRPr="00D50326">
              <w:rPr>
                <w:rFonts w:ascii="Arial" w:hAnsi="Arial" w:cs="Arial"/>
              </w:rPr>
              <w:t>%</w:t>
            </w:r>
          </w:p>
        </w:tc>
        <w:tc>
          <w:tcPr>
            <w:tcW w:w="1030" w:type="dxa"/>
          </w:tcPr>
          <w:p w:rsidRPr="00D50326" w:rsidR="00621767" w:rsidP="009A23B2" w:rsidRDefault="00881FA2" w14:paraId="7656B489" w14:textId="77777777">
            <w:pPr>
              <w:pStyle w:val="ListParagraph"/>
              <w:autoSpaceDE w:val="0"/>
              <w:autoSpaceDN w:val="0"/>
              <w:adjustRightInd w:val="0"/>
              <w:ind w:left="0"/>
              <w:jc w:val="both"/>
              <w:rPr>
                <w:rFonts w:ascii="Arial" w:hAnsi="Arial" w:cs="Arial"/>
              </w:rPr>
            </w:pPr>
            <w:r w:rsidRPr="00D50326">
              <w:rPr>
                <w:rFonts w:ascii="Arial" w:hAnsi="Arial" w:cs="Arial"/>
              </w:rPr>
              <w:t>5</w:t>
            </w:r>
            <w:r w:rsidRPr="00D50326" w:rsidR="00C01279">
              <w:rPr>
                <w:rFonts w:ascii="Arial" w:hAnsi="Arial" w:cs="Arial"/>
              </w:rPr>
              <w:t>/4</w:t>
            </w:r>
            <w:r w:rsidRPr="00D50326">
              <w:rPr>
                <w:rFonts w:ascii="Arial" w:hAnsi="Arial" w:cs="Arial"/>
              </w:rPr>
              <w:t>%</w:t>
            </w:r>
          </w:p>
        </w:tc>
        <w:tc>
          <w:tcPr>
            <w:tcW w:w="1030" w:type="dxa"/>
          </w:tcPr>
          <w:p w:rsidRPr="00D50326" w:rsidR="00621767" w:rsidP="009A23B2" w:rsidRDefault="00881FA2" w14:paraId="7758D27E" w14:textId="77777777">
            <w:pPr>
              <w:pStyle w:val="ListParagraph"/>
              <w:autoSpaceDE w:val="0"/>
              <w:autoSpaceDN w:val="0"/>
              <w:adjustRightInd w:val="0"/>
              <w:ind w:left="0"/>
              <w:jc w:val="both"/>
              <w:rPr>
                <w:rFonts w:ascii="Arial" w:hAnsi="Arial" w:cs="Arial"/>
              </w:rPr>
            </w:pPr>
            <w:r w:rsidRPr="00D50326">
              <w:rPr>
                <w:rFonts w:ascii="Arial" w:hAnsi="Arial" w:cs="Arial"/>
              </w:rPr>
              <w:t>13</w:t>
            </w:r>
            <w:r w:rsidRPr="00D50326" w:rsidR="00C01279">
              <w:rPr>
                <w:rFonts w:ascii="Arial" w:hAnsi="Arial" w:cs="Arial"/>
              </w:rPr>
              <w:t>/7</w:t>
            </w:r>
            <w:r w:rsidRPr="00D50326">
              <w:rPr>
                <w:rFonts w:ascii="Arial" w:hAnsi="Arial" w:cs="Arial"/>
              </w:rPr>
              <w:t>%</w:t>
            </w:r>
          </w:p>
        </w:tc>
        <w:tc>
          <w:tcPr>
            <w:tcW w:w="1030" w:type="dxa"/>
          </w:tcPr>
          <w:p w:rsidRPr="00D50326" w:rsidR="00621767" w:rsidP="009A23B2" w:rsidRDefault="00881FA2" w14:paraId="25902D2D" w14:textId="77777777">
            <w:pPr>
              <w:pStyle w:val="ListParagraph"/>
              <w:autoSpaceDE w:val="0"/>
              <w:autoSpaceDN w:val="0"/>
              <w:adjustRightInd w:val="0"/>
              <w:ind w:left="0"/>
              <w:jc w:val="both"/>
              <w:rPr>
                <w:rFonts w:ascii="Arial" w:hAnsi="Arial" w:cs="Arial"/>
              </w:rPr>
            </w:pPr>
            <w:r w:rsidRPr="00D50326">
              <w:rPr>
                <w:rFonts w:ascii="Arial" w:hAnsi="Arial" w:cs="Arial"/>
              </w:rPr>
              <w:t>7</w:t>
            </w:r>
            <w:r w:rsidRPr="00D50326" w:rsidR="00C01279">
              <w:rPr>
                <w:rFonts w:ascii="Arial" w:hAnsi="Arial" w:cs="Arial"/>
              </w:rPr>
              <w:t>/5</w:t>
            </w:r>
            <w:r w:rsidRPr="00D50326">
              <w:rPr>
                <w:rFonts w:ascii="Arial" w:hAnsi="Arial" w:cs="Arial"/>
              </w:rPr>
              <w:t>%</w:t>
            </w:r>
          </w:p>
        </w:tc>
      </w:tr>
      <w:tr w:rsidRPr="00D50326" w:rsidR="00D50326" w:rsidTr="007A2718" w14:paraId="1F657DFD" w14:textId="77777777">
        <w:trPr>
          <w:cantSplit/>
        </w:trPr>
        <w:tc>
          <w:tcPr>
            <w:tcW w:w="2547" w:type="dxa"/>
          </w:tcPr>
          <w:p w:rsidRPr="00D50326" w:rsidR="00621767" w:rsidP="00E17B10" w:rsidRDefault="00621767" w14:paraId="5A6E2448" w14:textId="77777777">
            <w:pPr>
              <w:pStyle w:val="ListParagraph"/>
              <w:autoSpaceDE w:val="0"/>
              <w:autoSpaceDN w:val="0"/>
              <w:adjustRightInd w:val="0"/>
              <w:ind w:left="0"/>
              <w:rPr>
                <w:rFonts w:ascii="Arial" w:hAnsi="Arial" w:cs="Arial"/>
              </w:rPr>
            </w:pPr>
            <w:r w:rsidRPr="00D50326">
              <w:rPr>
                <w:rFonts w:ascii="Arial" w:hAnsi="Arial" w:cs="Arial"/>
              </w:rPr>
              <w:t>Three or more adults with dependent children</w:t>
            </w:r>
          </w:p>
        </w:tc>
        <w:tc>
          <w:tcPr>
            <w:tcW w:w="1030" w:type="dxa"/>
          </w:tcPr>
          <w:p w:rsidRPr="00D50326" w:rsidR="00621767" w:rsidP="009A23B2" w:rsidRDefault="00881FA2" w14:paraId="4E72D49E"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C01279">
              <w:rPr>
                <w:rFonts w:ascii="Arial" w:hAnsi="Arial" w:cs="Arial"/>
              </w:rPr>
              <w:t>/0</w:t>
            </w:r>
            <w:r w:rsidRPr="00D50326">
              <w:rPr>
                <w:rFonts w:ascii="Arial" w:hAnsi="Arial" w:cs="Arial"/>
              </w:rPr>
              <w:t>%</w:t>
            </w:r>
          </w:p>
        </w:tc>
        <w:tc>
          <w:tcPr>
            <w:tcW w:w="1030" w:type="dxa"/>
          </w:tcPr>
          <w:p w:rsidRPr="00D50326" w:rsidR="00621767" w:rsidP="009A23B2" w:rsidRDefault="00881FA2" w14:paraId="265391E8"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C01279">
              <w:rPr>
                <w:rFonts w:ascii="Arial" w:hAnsi="Arial" w:cs="Arial"/>
              </w:rPr>
              <w:t>/1</w:t>
            </w:r>
            <w:r w:rsidRPr="00D50326">
              <w:rPr>
                <w:rFonts w:ascii="Arial" w:hAnsi="Arial" w:cs="Arial"/>
              </w:rPr>
              <w:t>%</w:t>
            </w:r>
          </w:p>
        </w:tc>
        <w:tc>
          <w:tcPr>
            <w:tcW w:w="1030" w:type="dxa"/>
          </w:tcPr>
          <w:p w:rsidRPr="00D50326" w:rsidR="00621767" w:rsidP="009A23B2" w:rsidRDefault="00881FA2" w14:paraId="6F114952" w14:textId="77777777">
            <w:pPr>
              <w:pStyle w:val="ListParagraph"/>
              <w:autoSpaceDE w:val="0"/>
              <w:autoSpaceDN w:val="0"/>
              <w:adjustRightInd w:val="0"/>
              <w:ind w:left="0"/>
              <w:jc w:val="both"/>
              <w:rPr>
                <w:rFonts w:ascii="Arial" w:hAnsi="Arial" w:cs="Arial"/>
              </w:rPr>
            </w:pPr>
            <w:r w:rsidRPr="00D50326">
              <w:rPr>
                <w:rFonts w:ascii="Arial" w:hAnsi="Arial" w:cs="Arial"/>
              </w:rPr>
              <w:t>2</w:t>
            </w:r>
            <w:r w:rsidRPr="00D50326" w:rsidR="00C01279">
              <w:rPr>
                <w:rFonts w:ascii="Arial" w:hAnsi="Arial" w:cs="Arial"/>
              </w:rPr>
              <w:t>/0</w:t>
            </w:r>
            <w:r w:rsidRPr="00D50326">
              <w:rPr>
                <w:rFonts w:ascii="Arial" w:hAnsi="Arial" w:cs="Arial"/>
              </w:rPr>
              <w:t>%</w:t>
            </w:r>
          </w:p>
        </w:tc>
        <w:tc>
          <w:tcPr>
            <w:tcW w:w="1030" w:type="dxa"/>
          </w:tcPr>
          <w:p w:rsidRPr="00D50326" w:rsidR="00621767" w:rsidP="009A23B2" w:rsidRDefault="00881FA2" w14:paraId="0536B90B"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C01279">
              <w:rPr>
                <w:rFonts w:ascii="Arial" w:hAnsi="Arial" w:cs="Arial"/>
              </w:rPr>
              <w:t>/1</w:t>
            </w:r>
            <w:r w:rsidRPr="00D50326">
              <w:rPr>
                <w:rFonts w:ascii="Arial" w:hAnsi="Arial" w:cs="Arial"/>
              </w:rPr>
              <w:t>%</w:t>
            </w:r>
          </w:p>
        </w:tc>
      </w:tr>
      <w:tr w:rsidRPr="00D50326" w:rsidR="00D50326" w:rsidTr="007A2718" w14:paraId="6B882014" w14:textId="77777777">
        <w:trPr>
          <w:cantSplit/>
        </w:trPr>
        <w:tc>
          <w:tcPr>
            <w:tcW w:w="2547" w:type="dxa"/>
          </w:tcPr>
          <w:p w:rsidRPr="00D50326" w:rsidR="00621767" w:rsidP="00E17B10" w:rsidRDefault="00621767" w14:paraId="139F2615" w14:textId="77777777">
            <w:pPr>
              <w:pStyle w:val="ListParagraph"/>
              <w:autoSpaceDE w:val="0"/>
              <w:autoSpaceDN w:val="0"/>
              <w:adjustRightInd w:val="0"/>
              <w:ind w:left="0"/>
              <w:rPr>
                <w:rFonts w:ascii="Arial" w:hAnsi="Arial" w:cs="Arial"/>
              </w:rPr>
            </w:pPr>
            <w:r w:rsidRPr="00D50326">
              <w:rPr>
                <w:rFonts w:ascii="Arial" w:hAnsi="Arial" w:cs="Arial"/>
              </w:rPr>
              <w:t>Three or more adults with</w:t>
            </w:r>
            <w:r w:rsidRPr="00D50326" w:rsidR="00C01279">
              <w:rPr>
                <w:rFonts w:ascii="Arial" w:hAnsi="Arial" w:cs="Arial"/>
              </w:rPr>
              <w:t>out</w:t>
            </w:r>
            <w:r w:rsidRPr="00D50326">
              <w:rPr>
                <w:rFonts w:ascii="Arial" w:hAnsi="Arial" w:cs="Arial"/>
              </w:rPr>
              <w:t xml:space="preserve"> dependent children</w:t>
            </w:r>
          </w:p>
        </w:tc>
        <w:tc>
          <w:tcPr>
            <w:tcW w:w="1030" w:type="dxa"/>
          </w:tcPr>
          <w:p w:rsidRPr="00D50326" w:rsidR="00621767" w:rsidP="009A23B2" w:rsidRDefault="00881FA2" w14:paraId="5B84BEEE"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C01279">
              <w:rPr>
                <w:rFonts w:ascii="Arial" w:hAnsi="Arial" w:cs="Arial"/>
              </w:rPr>
              <w:t>/0</w:t>
            </w:r>
            <w:r w:rsidRPr="00D50326">
              <w:rPr>
                <w:rFonts w:ascii="Arial" w:hAnsi="Arial" w:cs="Arial"/>
              </w:rPr>
              <w:t>%</w:t>
            </w:r>
          </w:p>
        </w:tc>
        <w:tc>
          <w:tcPr>
            <w:tcW w:w="1030" w:type="dxa"/>
          </w:tcPr>
          <w:p w:rsidRPr="00D50326" w:rsidR="00621767" w:rsidP="009A23B2" w:rsidRDefault="00881FA2" w14:paraId="0E9D9F5C" w14:textId="77777777">
            <w:pPr>
              <w:pStyle w:val="ListParagraph"/>
              <w:autoSpaceDE w:val="0"/>
              <w:autoSpaceDN w:val="0"/>
              <w:adjustRightInd w:val="0"/>
              <w:ind w:left="0"/>
              <w:jc w:val="both"/>
              <w:rPr>
                <w:rFonts w:ascii="Arial" w:hAnsi="Arial" w:cs="Arial"/>
              </w:rPr>
            </w:pPr>
            <w:r w:rsidRPr="00D50326">
              <w:rPr>
                <w:rFonts w:ascii="Arial" w:hAnsi="Arial" w:cs="Arial"/>
              </w:rPr>
              <w:t>0</w:t>
            </w:r>
            <w:r w:rsidRPr="00D50326" w:rsidR="00C01279">
              <w:rPr>
                <w:rFonts w:ascii="Arial" w:hAnsi="Arial" w:cs="Arial"/>
              </w:rPr>
              <w:t>/0%</w:t>
            </w:r>
          </w:p>
        </w:tc>
        <w:tc>
          <w:tcPr>
            <w:tcW w:w="1030" w:type="dxa"/>
          </w:tcPr>
          <w:p w:rsidRPr="00D50326" w:rsidR="00621767" w:rsidP="009A23B2" w:rsidRDefault="00881FA2" w14:paraId="4FF7394E"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C01279">
              <w:rPr>
                <w:rFonts w:ascii="Arial" w:hAnsi="Arial" w:cs="Arial"/>
              </w:rPr>
              <w:t>/1</w:t>
            </w:r>
            <w:r w:rsidRPr="00D50326">
              <w:rPr>
                <w:rFonts w:ascii="Arial" w:hAnsi="Arial" w:cs="Arial"/>
              </w:rPr>
              <w:t>%</w:t>
            </w:r>
          </w:p>
        </w:tc>
        <w:tc>
          <w:tcPr>
            <w:tcW w:w="1030" w:type="dxa"/>
          </w:tcPr>
          <w:p w:rsidRPr="00D50326" w:rsidR="00621767" w:rsidP="009A23B2" w:rsidRDefault="00881FA2" w14:paraId="5A5E379B" w14:textId="77777777">
            <w:pPr>
              <w:pStyle w:val="ListParagraph"/>
              <w:autoSpaceDE w:val="0"/>
              <w:autoSpaceDN w:val="0"/>
              <w:adjustRightInd w:val="0"/>
              <w:ind w:left="0"/>
              <w:jc w:val="both"/>
              <w:rPr>
                <w:rFonts w:ascii="Arial" w:hAnsi="Arial" w:cs="Arial"/>
              </w:rPr>
            </w:pPr>
            <w:r w:rsidRPr="00D50326">
              <w:rPr>
                <w:rFonts w:ascii="Arial" w:hAnsi="Arial" w:cs="Arial"/>
              </w:rPr>
              <w:t>1</w:t>
            </w:r>
            <w:r w:rsidRPr="00D50326" w:rsidR="00C01279">
              <w:rPr>
                <w:rFonts w:ascii="Arial" w:hAnsi="Arial" w:cs="Arial"/>
              </w:rPr>
              <w:t>/0</w:t>
            </w:r>
            <w:r w:rsidRPr="00D50326">
              <w:rPr>
                <w:rFonts w:ascii="Arial" w:hAnsi="Arial" w:cs="Arial"/>
              </w:rPr>
              <w:t>%</w:t>
            </w:r>
          </w:p>
        </w:tc>
      </w:tr>
      <w:tr w:rsidRPr="00D50326" w:rsidR="00621767" w:rsidTr="007A2718" w14:paraId="077B05DE" w14:textId="77777777">
        <w:trPr>
          <w:cantSplit/>
        </w:trPr>
        <w:tc>
          <w:tcPr>
            <w:tcW w:w="2547" w:type="dxa"/>
          </w:tcPr>
          <w:p w:rsidRPr="00D50326" w:rsidR="00621767" w:rsidP="00E17B10" w:rsidRDefault="00621767" w14:paraId="6043993F" w14:textId="77777777">
            <w:pPr>
              <w:pStyle w:val="ListParagraph"/>
              <w:autoSpaceDE w:val="0"/>
              <w:autoSpaceDN w:val="0"/>
              <w:adjustRightInd w:val="0"/>
              <w:ind w:left="0"/>
              <w:rPr>
                <w:rFonts w:ascii="Arial" w:hAnsi="Arial" w:cs="Arial"/>
              </w:rPr>
            </w:pPr>
            <w:r w:rsidRPr="00D50326">
              <w:rPr>
                <w:rFonts w:ascii="Arial" w:hAnsi="Arial" w:cs="Arial"/>
              </w:rPr>
              <w:t>Not known</w:t>
            </w:r>
          </w:p>
        </w:tc>
        <w:tc>
          <w:tcPr>
            <w:tcW w:w="1030" w:type="dxa"/>
          </w:tcPr>
          <w:p w:rsidRPr="00D50326" w:rsidR="00621767" w:rsidP="009A23B2" w:rsidRDefault="00881FA2" w14:paraId="1C5AFB01" w14:textId="77777777">
            <w:pPr>
              <w:pStyle w:val="ListParagraph"/>
              <w:autoSpaceDE w:val="0"/>
              <w:autoSpaceDN w:val="0"/>
              <w:adjustRightInd w:val="0"/>
              <w:ind w:left="0"/>
              <w:jc w:val="both"/>
              <w:rPr>
                <w:rFonts w:ascii="Arial" w:hAnsi="Arial" w:cs="Arial"/>
              </w:rPr>
            </w:pPr>
            <w:r w:rsidRPr="00D50326">
              <w:rPr>
                <w:rFonts w:ascii="Arial" w:hAnsi="Arial" w:cs="Arial"/>
              </w:rPr>
              <w:t>0%</w:t>
            </w:r>
          </w:p>
        </w:tc>
        <w:tc>
          <w:tcPr>
            <w:tcW w:w="1030" w:type="dxa"/>
          </w:tcPr>
          <w:p w:rsidRPr="00D50326" w:rsidR="00621767" w:rsidP="009A23B2" w:rsidRDefault="00881FA2" w14:paraId="695C052A" w14:textId="77777777">
            <w:pPr>
              <w:pStyle w:val="ListParagraph"/>
              <w:autoSpaceDE w:val="0"/>
              <w:autoSpaceDN w:val="0"/>
              <w:adjustRightInd w:val="0"/>
              <w:ind w:left="0"/>
              <w:jc w:val="both"/>
              <w:rPr>
                <w:rFonts w:ascii="Arial" w:hAnsi="Arial" w:cs="Arial"/>
              </w:rPr>
            </w:pPr>
            <w:r w:rsidRPr="00D50326">
              <w:rPr>
                <w:rFonts w:ascii="Arial" w:hAnsi="Arial" w:cs="Arial"/>
              </w:rPr>
              <w:t>0%</w:t>
            </w:r>
          </w:p>
        </w:tc>
        <w:tc>
          <w:tcPr>
            <w:tcW w:w="1030" w:type="dxa"/>
          </w:tcPr>
          <w:p w:rsidRPr="00D50326" w:rsidR="00621767" w:rsidP="009A23B2" w:rsidRDefault="00881FA2" w14:paraId="0A3F181E" w14:textId="77777777">
            <w:pPr>
              <w:pStyle w:val="ListParagraph"/>
              <w:autoSpaceDE w:val="0"/>
              <w:autoSpaceDN w:val="0"/>
              <w:adjustRightInd w:val="0"/>
              <w:ind w:left="0"/>
              <w:jc w:val="both"/>
              <w:rPr>
                <w:rFonts w:ascii="Arial" w:hAnsi="Arial" w:cs="Arial"/>
              </w:rPr>
            </w:pPr>
            <w:r w:rsidRPr="00D50326">
              <w:rPr>
                <w:rFonts w:ascii="Arial" w:hAnsi="Arial" w:cs="Arial"/>
              </w:rPr>
              <w:t>0%</w:t>
            </w:r>
          </w:p>
        </w:tc>
        <w:tc>
          <w:tcPr>
            <w:tcW w:w="1030" w:type="dxa"/>
          </w:tcPr>
          <w:p w:rsidRPr="00D50326" w:rsidR="00621767" w:rsidP="009A23B2" w:rsidRDefault="00881FA2" w14:paraId="318CF40B" w14:textId="77777777">
            <w:pPr>
              <w:pStyle w:val="ListParagraph"/>
              <w:autoSpaceDE w:val="0"/>
              <w:autoSpaceDN w:val="0"/>
              <w:adjustRightInd w:val="0"/>
              <w:ind w:left="0"/>
              <w:jc w:val="both"/>
              <w:rPr>
                <w:rFonts w:ascii="Arial" w:hAnsi="Arial" w:cs="Arial"/>
              </w:rPr>
            </w:pPr>
            <w:r w:rsidRPr="00D50326">
              <w:rPr>
                <w:rFonts w:ascii="Arial" w:hAnsi="Arial" w:cs="Arial"/>
              </w:rPr>
              <w:t>0%</w:t>
            </w:r>
          </w:p>
        </w:tc>
      </w:tr>
    </w:tbl>
    <w:p w:rsidRPr="00DD6487" w:rsidR="00DD6487" w:rsidP="00DD6487" w:rsidRDefault="00DD6487" w14:paraId="159CCE26" w14:textId="77777777">
      <w:pPr>
        <w:pStyle w:val="ListParagraph"/>
        <w:autoSpaceDE w:val="0"/>
        <w:autoSpaceDN w:val="0"/>
        <w:adjustRightInd w:val="0"/>
        <w:ind w:left="0"/>
        <w:rPr>
          <w:rFonts w:ascii="Arial" w:hAnsi="Arial" w:cs="Arial"/>
          <w:sz w:val="16"/>
          <w:szCs w:val="16"/>
        </w:rPr>
      </w:pPr>
      <w:r w:rsidRPr="00DD6487">
        <w:rPr>
          <w:rFonts w:ascii="Arial" w:hAnsi="Arial" w:cs="Arial"/>
          <w:sz w:val="16"/>
          <w:szCs w:val="16"/>
        </w:rPr>
        <w:t>Table 9</w:t>
      </w:r>
    </w:p>
    <w:p w:rsidRPr="00D50326" w:rsidR="00AB55AD" w:rsidP="00E770F1" w:rsidRDefault="00AB55AD" w14:paraId="3B9D39A2" w14:textId="77777777">
      <w:pPr>
        <w:pStyle w:val="ListParagraph"/>
        <w:autoSpaceDE w:val="0"/>
        <w:autoSpaceDN w:val="0"/>
        <w:adjustRightInd w:val="0"/>
        <w:ind w:left="0"/>
        <w:rPr>
          <w:rFonts w:ascii="Arial" w:hAnsi="Arial" w:cs="Arial"/>
        </w:rPr>
      </w:pPr>
    </w:p>
    <w:p w:rsidRPr="00D50326" w:rsidR="00AE4903" w:rsidP="00BC168A" w:rsidRDefault="00007A21" w14:paraId="19B8CDAD" w14:textId="77777777">
      <w:pPr>
        <w:pStyle w:val="GNHS3"/>
      </w:pPr>
      <w:r>
        <w:lastRenderedPageBreak/>
        <w:t>3.2</w:t>
      </w:r>
      <w:r w:rsidR="00121512">
        <w:t>4</w:t>
      </w:r>
      <w:r w:rsidR="00DD6487">
        <w:tab/>
        <w:t>Age Bands Owed a Prevention or Relief D</w:t>
      </w:r>
      <w:r w:rsidRPr="00D50326" w:rsidR="00AE4903">
        <w:t>uty</w:t>
      </w:r>
    </w:p>
    <w:p w:rsidRPr="00D50326" w:rsidR="00AE4903" w:rsidP="00AE4903" w:rsidRDefault="00AE4903" w14:paraId="61B726CF" w14:textId="77777777">
      <w:pPr>
        <w:pStyle w:val="ListParagraph"/>
        <w:autoSpaceDE w:val="0"/>
        <w:autoSpaceDN w:val="0"/>
        <w:adjustRightInd w:val="0"/>
        <w:ind w:left="0"/>
        <w:rPr>
          <w:rFonts w:ascii="Arial" w:hAnsi="Arial" w:cs="Arial"/>
        </w:rPr>
      </w:pPr>
    </w:p>
    <w:p w:rsidRPr="00D50326" w:rsidR="00AE4903" w:rsidP="00AE4903" w:rsidRDefault="00AE4903" w14:paraId="4A58BF8C" w14:textId="77777777">
      <w:pPr>
        <w:pStyle w:val="ListParagraph"/>
        <w:autoSpaceDE w:val="0"/>
        <w:autoSpaceDN w:val="0"/>
        <w:adjustRightInd w:val="0"/>
        <w:ind w:left="0"/>
        <w:rPr>
          <w:rFonts w:ascii="Arial" w:hAnsi="Arial" w:cs="Arial"/>
        </w:rPr>
      </w:pPr>
      <w:r w:rsidRPr="00D50326">
        <w:rPr>
          <w:rFonts w:ascii="Arial" w:hAnsi="Arial" w:cs="Arial"/>
        </w:rPr>
        <w:t>Age is clearly a determining factor in people becoming homeless of those households that</w:t>
      </w:r>
      <w:r w:rsidR="00801E8F">
        <w:rPr>
          <w:rFonts w:ascii="Arial" w:hAnsi="Arial" w:cs="Arial"/>
        </w:rPr>
        <w:t xml:space="preserve"> were</w:t>
      </w:r>
      <w:r w:rsidRPr="00D50326">
        <w:rPr>
          <w:rFonts w:ascii="Arial" w:hAnsi="Arial" w:cs="Arial"/>
        </w:rPr>
        <w:t xml:space="preserve"> owed a </w:t>
      </w:r>
      <w:r w:rsidR="00801E8F">
        <w:rPr>
          <w:rFonts w:ascii="Arial" w:hAnsi="Arial" w:cs="Arial"/>
        </w:rPr>
        <w:t>Prevention or R</w:t>
      </w:r>
      <w:r w:rsidR="00113614">
        <w:rPr>
          <w:rFonts w:ascii="Arial" w:hAnsi="Arial" w:cs="Arial"/>
        </w:rPr>
        <w:t>elief duty often due to</w:t>
      </w:r>
      <w:r w:rsidR="00801E8F">
        <w:rPr>
          <w:rFonts w:ascii="Arial" w:hAnsi="Arial" w:cs="Arial"/>
        </w:rPr>
        <w:t>; low wages; lower welfare payments;</w:t>
      </w:r>
      <w:r w:rsidRPr="00D50326">
        <w:rPr>
          <w:rFonts w:ascii="Arial" w:hAnsi="Arial" w:cs="Arial"/>
        </w:rPr>
        <w:t xml:space="preserve"> </w:t>
      </w:r>
      <w:r w:rsidR="00113614">
        <w:rPr>
          <w:rFonts w:ascii="Arial" w:hAnsi="Arial" w:cs="Arial"/>
        </w:rPr>
        <w:t xml:space="preserve">or </w:t>
      </w:r>
      <w:r w:rsidRPr="00D50326">
        <w:rPr>
          <w:rFonts w:ascii="Arial" w:hAnsi="Arial" w:cs="Arial"/>
        </w:rPr>
        <w:t xml:space="preserve">where young people are living at home with friends </w:t>
      </w:r>
      <w:r w:rsidR="00113614">
        <w:rPr>
          <w:rFonts w:ascii="Arial" w:hAnsi="Arial" w:cs="Arial"/>
        </w:rPr>
        <w:t>or extended family in often</w:t>
      </w:r>
      <w:r w:rsidRPr="00D50326">
        <w:rPr>
          <w:rFonts w:ascii="Arial" w:hAnsi="Arial" w:cs="Arial"/>
        </w:rPr>
        <w:t xml:space="preserve"> insecure living situations. The following table shows age groups (top 3) as a percentage owed this duty in 2018/19:</w:t>
      </w:r>
    </w:p>
    <w:p w:rsidRPr="00D50326" w:rsidR="00F916D3" w:rsidP="00AE4903" w:rsidRDefault="00F916D3" w14:paraId="49B92A5C" w14:textId="77777777">
      <w:pPr>
        <w:pStyle w:val="ListParagraph"/>
        <w:autoSpaceDE w:val="0"/>
        <w:autoSpaceDN w:val="0"/>
        <w:adjustRightInd w:val="0"/>
        <w:ind w:left="0"/>
        <w:rPr>
          <w:rFonts w:ascii="Arial" w:hAnsi="Arial" w:cs="Arial"/>
        </w:rPr>
      </w:pPr>
    </w:p>
    <w:tbl>
      <w:tblPr>
        <w:tblStyle w:val="TableGrid"/>
        <w:tblW w:w="0" w:type="auto"/>
        <w:tblLook w:val="04A0" w:firstRow="1" w:lastRow="0" w:firstColumn="1" w:lastColumn="0" w:noHBand="0" w:noVBand="1"/>
        <w:tblCaption w:val="Age Band prevention or relief duty"/>
        <w:tblDescription w:val="Table showing age bands 18-24, 25-34 and 35-44. Figures shown as % by East of England, Broadland, Norwich and South Norfolk"/>
      </w:tblPr>
      <w:tblGrid>
        <w:gridCol w:w="1704"/>
        <w:gridCol w:w="1163"/>
        <w:gridCol w:w="1403"/>
        <w:gridCol w:w="1163"/>
        <w:gridCol w:w="1134"/>
      </w:tblGrid>
      <w:tr w:rsidRPr="00D50326" w:rsidR="00D50326" w:rsidTr="007A2718" w14:paraId="5BBF2D1A" w14:textId="77777777">
        <w:trPr>
          <w:cantSplit/>
          <w:tblHeader/>
        </w:trPr>
        <w:tc>
          <w:tcPr>
            <w:tcW w:w="1704" w:type="dxa"/>
            <w:shd w:val="clear" w:color="auto" w:fill="F2F2F2" w:themeFill="background1" w:themeFillShade="F2"/>
          </w:tcPr>
          <w:p w:rsidRPr="00D50326" w:rsidR="00AE4903" w:rsidP="0010045B" w:rsidRDefault="00AE4903" w14:paraId="5F9AF6B8" w14:textId="77777777">
            <w:pPr>
              <w:pStyle w:val="ListParagraph"/>
              <w:autoSpaceDE w:val="0"/>
              <w:autoSpaceDN w:val="0"/>
              <w:adjustRightInd w:val="0"/>
              <w:ind w:left="0"/>
              <w:rPr>
                <w:rFonts w:ascii="Arial" w:hAnsi="Arial" w:cs="Arial"/>
                <w:b/>
              </w:rPr>
            </w:pPr>
            <w:r w:rsidRPr="00D50326">
              <w:rPr>
                <w:rFonts w:ascii="Arial" w:hAnsi="Arial" w:cs="Arial"/>
                <w:b/>
              </w:rPr>
              <w:t>Area/Age band</w:t>
            </w:r>
          </w:p>
        </w:tc>
        <w:tc>
          <w:tcPr>
            <w:tcW w:w="1163" w:type="dxa"/>
            <w:shd w:val="clear" w:color="auto" w:fill="F2F2F2" w:themeFill="background1" w:themeFillShade="F2"/>
          </w:tcPr>
          <w:p w:rsidRPr="00D50326" w:rsidR="00AE4903" w:rsidP="0010045B" w:rsidRDefault="00AE4903" w14:paraId="56F7CEE1" w14:textId="77777777">
            <w:pPr>
              <w:pStyle w:val="ListParagraph"/>
              <w:autoSpaceDE w:val="0"/>
              <w:autoSpaceDN w:val="0"/>
              <w:adjustRightInd w:val="0"/>
              <w:ind w:left="0"/>
              <w:rPr>
                <w:rFonts w:ascii="Arial" w:hAnsi="Arial" w:cs="Arial"/>
                <w:b/>
              </w:rPr>
            </w:pPr>
            <w:r w:rsidRPr="00D50326">
              <w:rPr>
                <w:rFonts w:ascii="Arial" w:hAnsi="Arial" w:cs="Arial"/>
                <w:b/>
              </w:rPr>
              <w:t>East of England</w:t>
            </w:r>
          </w:p>
        </w:tc>
        <w:tc>
          <w:tcPr>
            <w:tcW w:w="1403" w:type="dxa"/>
            <w:shd w:val="clear" w:color="auto" w:fill="F2F2F2" w:themeFill="background1" w:themeFillShade="F2"/>
          </w:tcPr>
          <w:p w:rsidRPr="00D50326" w:rsidR="00AE4903" w:rsidP="0010045B" w:rsidRDefault="00AE4903" w14:paraId="7BC86600" w14:textId="77777777">
            <w:pPr>
              <w:pStyle w:val="ListParagraph"/>
              <w:autoSpaceDE w:val="0"/>
              <w:autoSpaceDN w:val="0"/>
              <w:adjustRightInd w:val="0"/>
              <w:ind w:left="0"/>
              <w:rPr>
                <w:rFonts w:ascii="Arial" w:hAnsi="Arial" w:cs="Arial"/>
                <w:b/>
              </w:rPr>
            </w:pPr>
            <w:r w:rsidRPr="00D50326">
              <w:rPr>
                <w:rFonts w:ascii="Arial" w:hAnsi="Arial" w:cs="Arial"/>
                <w:b/>
              </w:rPr>
              <w:t>Broadland</w:t>
            </w:r>
          </w:p>
        </w:tc>
        <w:tc>
          <w:tcPr>
            <w:tcW w:w="1163" w:type="dxa"/>
            <w:shd w:val="clear" w:color="auto" w:fill="F2F2F2" w:themeFill="background1" w:themeFillShade="F2"/>
          </w:tcPr>
          <w:p w:rsidRPr="00D50326" w:rsidR="00AE4903" w:rsidP="0010045B" w:rsidRDefault="00AE4903" w14:paraId="51FE0D27" w14:textId="77777777">
            <w:pPr>
              <w:pStyle w:val="ListParagraph"/>
              <w:autoSpaceDE w:val="0"/>
              <w:autoSpaceDN w:val="0"/>
              <w:adjustRightInd w:val="0"/>
              <w:ind w:left="0"/>
              <w:rPr>
                <w:rFonts w:ascii="Arial" w:hAnsi="Arial" w:cs="Arial"/>
                <w:b/>
              </w:rPr>
            </w:pPr>
            <w:r w:rsidRPr="00D50326">
              <w:rPr>
                <w:rFonts w:ascii="Arial" w:hAnsi="Arial" w:cs="Arial"/>
                <w:b/>
              </w:rPr>
              <w:t>Norwich</w:t>
            </w:r>
          </w:p>
        </w:tc>
        <w:tc>
          <w:tcPr>
            <w:tcW w:w="1134" w:type="dxa"/>
            <w:shd w:val="clear" w:color="auto" w:fill="F2F2F2" w:themeFill="background1" w:themeFillShade="F2"/>
          </w:tcPr>
          <w:p w:rsidRPr="00D50326" w:rsidR="00AE4903" w:rsidP="0010045B" w:rsidRDefault="00AE4903" w14:paraId="1A4B7473" w14:textId="77777777">
            <w:pPr>
              <w:pStyle w:val="ListParagraph"/>
              <w:autoSpaceDE w:val="0"/>
              <w:autoSpaceDN w:val="0"/>
              <w:adjustRightInd w:val="0"/>
              <w:ind w:left="0"/>
              <w:rPr>
                <w:rFonts w:ascii="Arial" w:hAnsi="Arial" w:cs="Arial"/>
                <w:b/>
              </w:rPr>
            </w:pPr>
            <w:r w:rsidRPr="00D50326">
              <w:rPr>
                <w:rFonts w:ascii="Arial" w:hAnsi="Arial" w:cs="Arial"/>
                <w:b/>
              </w:rPr>
              <w:t>South Norfolk</w:t>
            </w:r>
          </w:p>
        </w:tc>
      </w:tr>
      <w:tr w:rsidRPr="00D50326" w:rsidR="00D50326" w:rsidTr="007A2718" w14:paraId="0CDCAEF6" w14:textId="77777777">
        <w:trPr>
          <w:cantSplit/>
          <w:tblHeader/>
        </w:trPr>
        <w:tc>
          <w:tcPr>
            <w:tcW w:w="1704" w:type="dxa"/>
          </w:tcPr>
          <w:p w:rsidRPr="00D50326" w:rsidR="00AE4903" w:rsidP="0010045B" w:rsidRDefault="00AE4903" w14:paraId="503229AB" w14:textId="77777777">
            <w:pPr>
              <w:pStyle w:val="ListParagraph"/>
              <w:autoSpaceDE w:val="0"/>
              <w:autoSpaceDN w:val="0"/>
              <w:adjustRightInd w:val="0"/>
              <w:ind w:left="0"/>
              <w:rPr>
                <w:rFonts w:ascii="Arial" w:hAnsi="Arial" w:cs="Arial"/>
              </w:rPr>
            </w:pPr>
            <w:r w:rsidRPr="00D50326">
              <w:rPr>
                <w:rFonts w:ascii="Arial" w:hAnsi="Arial" w:cs="Arial"/>
              </w:rPr>
              <w:t>18-24</w:t>
            </w:r>
          </w:p>
        </w:tc>
        <w:tc>
          <w:tcPr>
            <w:tcW w:w="1163" w:type="dxa"/>
          </w:tcPr>
          <w:p w:rsidRPr="00D50326" w:rsidR="00AE4903" w:rsidP="0010045B" w:rsidRDefault="00AE4903" w14:paraId="2F755C30" w14:textId="77777777">
            <w:pPr>
              <w:pStyle w:val="ListParagraph"/>
              <w:autoSpaceDE w:val="0"/>
              <w:autoSpaceDN w:val="0"/>
              <w:adjustRightInd w:val="0"/>
              <w:ind w:left="0"/>
              <w:rPr>
                <w:rFonts w:ascii="Arial" w:hAnsi="Arial" w:cs="Arial"/>
              </w:rPr>
            </w:pPr>
            <w:r w:rsidRPr="00D50326">
              <w:rPr>
                <w:rFonts w:ascii="Arial" w:hAnsi="Arial" w:cs="Arial"/>
              </w:rPr>
              <w:t>21%</w:t>
            </w:r>
          </w:p>
        </w:tc>
        <w:tc>
          <w:tcPr>
            <w:tcW w:w="1403" w:type="dxa"/>
          </w:tcPr>
          <w:p w:rsidRPr="00D50326" w:rsidR="00AE4903" w:rsidP="0010045B" w:rsidRDefault="00AE4903" w14:paraId="445E79D3" w14:textId="77777777">
            <w:pPr>
              <w:pStyle w:val="ListParagraph"/>
              <w:autoSpaceDE w:val="0"/>
              <w:autoSpaceDN w:val="0"/>
              <w:adjustRightInd w:val="0"/>
              <w:ind w:left="0"/>
              <w:rPr>
                <w:rFonts w:ascii="Arial" w:hAnsi="Arial" w:cs="Arial"/>
              </w:rPr>
            </w:pPr>
            <w:r w:rsidRPr="00D50326">
              <w:rPr>
                <w:rFonts w:ascii="Arial" w:hAnsi="Arial" w:cs="Arial"/>
              </w:rPr>
              <w:t>25%</w:t>
            </w:r>
          </w:p>
        </w:tc>
        <w:tc>
          <w:tcPr>
            <w:tcW w:w="1163" w:type="dxa"/>
          </w:tcPr>
          <w:p w:rsidRPr="00D50326" w:rsidR="00AE4903" w:rsidP="0010045B" w:rsidRDefault="00AE4903" w14:paraId="77746C11" w14:textId="77777777">
            <w:pPr>
              <w:pStyle w:val="ListParagraph"/>
              <w:autoSpaceDE w:val="0"/>
              <w:autoSpaceDN w:val="0"/>
              <w:adjustRightInd w:val="0"/>
              <w:ind w:left="0"/>
              <w:rPr>
                <w:rFonts w:ascii="Arial" w:hAnsi="Arial" w:cs="Arial"/>
              </w:rPr>
            </w:pPr>
            <w:r w:rsidRPr="00D50326">
              <w:rPr>
                <w:rFonts w:ascii="Arial" w:hAnsi="Arial" w:cs="Arial"/>
              </w:rPr>
              <w:t>24%</w:t>
            </w:r>
          </w:p>
        </w:tc>
        <w:tc>
          <w:tcPr>
            <w:tcW w:w="1134" w:type="dxa"/>
          </w:tcPr>
          <w:p w:rsidRPr="00D50326" w:rsidR="00AE4903" w:rsidP="0010045B" w:rsidRDefault="00AE4903" w14:paraId="4862AEE7" w14:textId="77777777">
            <w:pPr>
              <w:pStyle w:val="ListParagraph"/>
              <w:autoSpaceDE w:val="0"/>
              <w:autoSpaceDN w:val="0"/>
              <w:adjustRightInd w:val="0"/>
              <w:ind w:left="0"/>
              <w:rPr>
                <w:rFonts w:ascii="Arial" w:hAnsi="Arial" w:cs="Arial"/>
              </w:rPr>
            </w:pPr>
            <w:r w:rsidRPr="00D50326">
              <w:rPr>
                <w:rFonts w:ascii="Arial" w:hAnsi="Arial" w:cs="Arial"/>
              </w:rPr>
              <w:t>20%</w:t>
            </w:r>
          </w:p>
        </w:tc>
      </w:tr>
      <w:tr w:rsidRPr="00D50326" w:rsidR="00D50326" w:rsidTr="007A2718" w14:paraId="49A3B9AA" w14:textId="77777777">
        <w:trPr>
          <w:cantSplit/>
          <w:tblHeader/>
        </w:trPr>
        <w:tc>
          <w:tcPr>
            <w:tcW w:w="1704" w:type="dxa"/>
          </w:tcPr>
          <w:p w:rsidRPr="00D50326" w:rsidR="00AE4903" w:rsidP="0010045B" w:rsidRDefault="00AE4903" w14:paraId="0930BB15" w14:textId="77777777">
            <w:pPr>
              <w:pStyle w:val="ListParagraph"/>
              <w:autoSpaceDE w:val="0"/>
              <w:autoSpaceDN w:val="0"/>
              <w:adjustRightInd w:val="0"/>
              <w:ind w:left="0"/>
              <w:rPr>
                <w:rFonts w:ascii="Arial" w:hAnsi="Arial" w:cs="Arial"/>
              </w:rPr>
            </w:pPr>
            <w:r w:rsidRPr="00D50326">
              <w:rPr>
                <w:rFonts w:ascii="Arial" w:hAnsi="Arial" w:cs="Arial"/>
              </w:rPr>
              <w:t>25-34</w:t>
            </w:r>
          </w:p>
        </w:tc>
        <w:tc>
          <w:tcPr>
            <w:tcW w:w="1163" w:type="dxa"/>
          </w:tcPr>
          <w:p w:rsidRPr="00D50326" w:rsidR="00AE4903" w:rsidP="0010045B" w:rsidRDefault="00AE4903" w14:paraId="2D85D272" w14:textId="77777777">
            <w:pPr>
              <w:pStyle w:val="ListParagraph"/>
              <w:autoSpaceDE w:val="0"/>
              <w:autoSpaceDN w:val="0"/>
              <w:adjustRightInd w:val="0"/>
              <w:ind w:left="0"/>
              <w:rPr>
                <w:rFonts w:ascii="Arial" w:hAnsi="Arial" w:cs="Arial"/>
              </w:rPr>
            </w:pPr>
            <w:r w:rsidRPr="00D50326">
              <w:rPr>
                <w:rFonts w:ascii="Arial" w:hAnsi="Arial" w:cs="Arial"/>
              </w:rPr>
              <w:t>31%</w:t>
            </w:r>
          </w:p>
        </w:tc>
        <w:tc>
          <w:tcPr>
            <w:tcW w:w="1403" w:type="dxa"/>
          </w:tcPr>
          <w:p w:rsidRPr="00D50326" w:rsidR="00AE4903" w:rsidP="0010045B" w:rsidRDefault="00AE4903" w14:paraId="01E733A3" w14:textId="77777777">
            <w:pPr>
              <w:pStyle w:val="ListParagraph"/>
              <w:autoSpaceDE w:val="0"/>
              <w:autoSpaceDN w:val="0"/>
              <w:adjustRightInd w:val="0"/>
              <w:ind w:left="0"/>
              <w:rPr>
                <w:rFonts w:ascii="Arial" w:hAnsi="Arial" w:cs="Arial"/>
              </w:rPr>
            </w:pPr>
            <w:r w:rsidRPr="00D50326">
              <w:rPr>
                <w:rFonts w:ascii="Arial" w:hAnsi="Arial" w:cs="Arial"/>
              </w:rPr>
              <w:t>30%</w:t>
            </w:r>
          </w:p>
        </w:tc>
        <w:tc>
          <w:tcPr>
            <w:tcW w:w="1163" w:type="dxa"/>
          </w:tcPr>
          <w:p w:rsidRPr="00D50326" w:rsidR="00AE4903" w:rsidP="0010045B" w:rsidRDefault="00AE4903" w14:paraId="1DB4ADFD" w14:textId="77777777">
            <w:pPr>
              <w:pStyle w:val="ListParagraph"/>
              <w:autoSpaceDE w:val="0"/>
              <w:autoSpaceDN w:val="0"/>
              <w:adjustRightInd w:val="0"/>
              <w:ind w:left="0"/>
              <w:rPr>
                <w:rFonts w:ascii="Arial" w:hAnsi="Arial" w:cs="Arial"/>
              </w:rPr>
            </w:pPr>
            <w:r w:rsidRPr="00D50326">
              <w:rPr>
                <w:rFonts w:ascii="Arial" w:hAnsi="Arial" w:cs="Arial"/>
              </w:rPr>
              <w:t>29%</w:t>
            </w:r>
          </w:p>
        </w:tc>
        <w:tc>
          <w:tcPr>
            <w:tcW w:w="1134" w:type="dxa"/>
          </w:tcPr>
          <w:p w:rsidRPr="00D50326" w:rsidR="00AE4903" w:rsidP="0010045B" w:rsidRDefault="00AE4903" w14:paraId="3783781D" w14:textId="77777777">
            <w:pPr>
              <w:pStyle w:val="ListParagraph"/>
              <w:autoSpaceDE w:val="0"/>
              <w:autoSpaceDN w:val="0"/>
              <w:adjustRightInd w:val="0"/>
              <w:ind w:left="0"/>
              <w:rPr>
                <w:rFonts w:ascii="Arial" w:hAnsi="Arial" w:cs="Arial"/>
              </w:rPr>
            </w:pPr>
            <w:r w:rsidRPr="00D50326">
              <w:rPr>
                <w:rFonts w:ascii="Arial" w:hAnsi="Arial" w:cs="Arial"/>
              </w:rPr>
              <w:t>27%</w:t>
            </w:r>
          </w:p>
        </w:tc>
      </w:tr>
      <w:tr w:rsidRPr="00D50326" w:rsidR="00AE4903" w:rsidTr="007A2718" w14:paraId="5E0C692D" w14:textId="77777777">
        <w:trPr>
          <w:cantSplit/>
          <w:tblHeader/>
        </w:trPr>
        <w:tc>
          <w:tcPr>
            <w:tcW w:w="1704" w:type="dxa"/>
          </w:tcPr>
          <w:p w:rsidRPr="00D50326" w:rsidR="00AE4903" w:rsidP="0010045B" w:rsidRDefault="00AE4903" w14:paraId="29169363" w14:textId="77777777">
            <w:pPr>
              <w:pStyle w:val="ListParagraph"/>
              <w:autoSpaceDE w:val="0"/>
              <w:autoSpaceDN w:val="0"/>
              <w:adjustRightInd w:val="0"/>
              <w:ind w:left="0"/>
              <w:rPr>
                <w:rFonts w:ascii="Arial" w:hAnsi="Arial" w:cs="Arial"/>
              </w:rPr>
            </w:pPr>
            <w:r w:rsidRPr="00D50326">
              <w:rPr>
                <w:rFonts w:ascii="Arial" w:hAnsi="Arial" w:cs="Arial"/>
              </w:rPr>
              <w:t>35-44</w:t>
            </w:r>
          </w:p>
        </w:tc>
        <w:tc>
          <w:tcPr>
            <w:tcW w:w="1163" w:type="dxa"/>
          </w:tcPr>
          <w:p w:rsidRPr="00D50326" w:rsidR="00AE4903" w:rsidP="0010045B" w:rsidRDefault="00AE4903" w14:paraId="622114A1" w14:textId="77777777">
            <w:pPr>
              <w:pStyle w:val="ListParagraph"/>
              <w:autoSpaceDE w:val="0"/>
              <w:autoSpaceDN w:val="0"/>
              <w:adjustRightInd w:val="0"/>
              <w:ind w:left="0"/>
              <w:rPr>
                <w:rFonts w:ascii="Arial" w:hAnsi="Arial" w:cs="Arial"/>
              </w:rPr>
            </w:pPr>
            <w:r w:rsidRPr="00D50326">
              <w:rPr>
                <w:rFonts w:ascii="Arial" w:hAnsi="Arial" w:cs="Arial"/>
              </w:rPr>
              <w:t>22%</w:t>
            </w:r>
          </w:p>
        </w:tc>
        <w:tc>
          <w:tcPr>
            <w:tcW w:w="1403" w:type="dxa"/>
          </w:tcPr>
          <w:p w:rsidRPr="00D50326" w:rsidR="00AE4903" w:rsidP="0010045B" w:rsidRDefault="00AE4903" w14:paraId="2A215243" w14:textId="77777777">
            <w:pPr>
              <w:pStyle w:val="ListParagraph"/>
              <w:autoSpaceDE w:val="0"/>
              <w:autoSpaceDN w:val="0"/>
              <w:adjustRightInd w:val="0"/>
              <w:ind w:left="0"/>
              <w:rPr>
                <w:rFonts w:ascii="Arial" w:hAnsi="Arial" w:cs="Arial"/>
              </w:rPr>
            </w:pPr>
            <w:r w:rsidRPr="00D50326">
              <w:rPr>
                <w:rFonts w:ascii="Arial" w:hAnsi="Arial" w:cs="Arial"/>
              </w:rPr>
              <w:t>26%</w:t>
            </w:r>
          </w:p>
        </w:tc>
        <w:tc>
          <w:tcPr>
            <w:tcW w:w="1163" w:type="dxa"/>
          </w:tcPr>
          <w:p w:rsidRPr="00D50326" w:rsidR="00AE4903" w:rsidP="0010045B" w:rsidRDefault="00AE4903" w14:paraId="5B5D8BC9" w14:textId="77777777">
            <w:pPr>
              <w:pStyle w:val="ListParagraph"/>
              <w:autoSpaceDE w:val="0"/>
              <w:autoSpaceDN w:val="0"/>
              <w:adjustRightInd w:val="0"/>
              <w:ind w:left="0"/>
              <w:rPr>
                <w:rFonts w:ascii="Arial" w:hAnsi="Arial" w:cs="Arial"/>
              </w:rPr>
            </w:pPr>
            <w:r w:rsidRPr="00D50326">
              <w:rPr>
                <w:rFonts w:ascii="Arial" w:hAnsi="Arial" w:cs="Arial"/>
              </w:rPr>
              <w:t>24%</w:t>
            </w:r>
          </w:p>
        </w:tc>
        <w:tc>
          <w:tcPr>
            <w:tcW w:w="1134" w:type="dxa"/>
          </w:tcPr>
          <w:p w:rsidRPr="00D50326" w:rsidR="00AE4903" w:rsidP="0010045B" w:rsidRDefault="00AE4903" w14:paraId="2EC887BF" w14:textId="77777777">
            <w:pPr>
              <w:pStyle w:val="ListParagraph"/>
              <w:autoSpaceDE w:val="0"/>
              <w:autoSpaceDN w:val="0"/>
              <w:adjustRightInd w:val="0"/>
              <w:ind w:left="0"/>
              <w:rPr>
                <w:rFonts w:ascii="Arial" w:hAnsi="Arial" w:cs="Arial"/>
              </w:rPr>
            </w:pPr>
            <w:r w:rsidRPr="00D50326">
              <w:rPr>
                <w:rFonts w:ascii="Arial" w:hAnsi="Arial" w:cs="Arial"/>
              </w:rPr>
              <w:t>20%</w:t>
            </w:r>
          </w:p>
        </w:tc>
      </w:tr>
    </w:tbl>
    <w:p w:rsidRPr="00DD6487" w:rsidR="00DD6487" w:rsidP="00DD6487" w:rsidRDefault="00DD6487" w14:paraId="1D2BC56E" w14:textId="77777777">
      <w:pPr>
        <w:pStyle w:val="ListParagraph"/>
        <w:autoSpaceDE w:val="0"/>
        <w:autoSpaceDN w:val="0"/>
        <w:adjustRightInd w:val="0"/>
        <w:ind w:left="0"/>
        <w:rPr>
          <w:rFonts w:ascii="Arial" w:hAnsi="Arial" w:cs="Arial"/>
          <w:sz w:val="16"/>
          <w:szCs w:val="16"/>
        </w:rPr>
      </w:pPr>
      <w:r w:rsidRPr="00DD6487">
        <w:rPr>
          <w:rFonts w:ascii="Arial" w:hAnsi="Arial" w:cs="Arial"/>
          <w:sz w:val="16"/>
          <w:szCs w:val="16"/>
        </w:rPr>
        <w:t>Table 10</w:t>
      </w:r>
    </w:p>
    <w:p w:rsidRPr="00D50326" w:rsidR="00AE4903" w:rsidP="00AE4903" w:rsidRDefault="00AE4903" w14:paraId="3341DDE2" w14:textId="77777777">
      <w:pPr>
        <w:pStyle w:val="ListParagraph"/>
        <w:autoSpaceDE w:val="0"/>
        <w:autoSpaceDN w:val="0"/>
        <w:adjustRightInd w:val="0"/>
        <w:ind w:left="0"/>
        <w:rPr>
          <w:rFonts w:ascii="Arial" w:hAnsi="Arial" w:cs="Arial"/>
        </w:rPr>
      </w:pPr>
    </w:p>
    <w:p w:rsidRPr="00D50326" w:rsidR="00AE4903" w:rsidP="00AE4903" w:rsidRDefault="00AE4903" w14:paraId="00EA078A" w14:textId="77777777">
      <w:pPr>
        <w:pStyle w:val="ListParagraph"/>
        <w:autoSpaceDE w:val="0"/>
        <w:autoSpaceDN w:val="0"/>
        <w:adjustRightInd w:val="0"/>
        <w:ind w:left="0"/>
        <w:rPr>
          <w:rFonts w:ascii="Arial" w:hAnsi="Arial" w:cs="Arial"/>
        </w:rPr>
      </w:pPr>
      <w:r w:rsidRPr="00D50326">
        <w:rPr>
          <w:rFonts w:ascii="Arial" w:hAnsi="Arial" w:cs="Arial"/>
        </w:rPr>
        <w:t xml:space="preserve">Both Norwich and Broadland recorded higher numbers of 18-24 year olds than the Eastern region average. </w:t>
      </w:r>
    </w:p>
    <w:p w:rsidRPr="00D50326" w:rsidR="00E770F1" w:rsidP="00E770F1" w:rsidRDefault="00E770F1" w14:paraId="2D2FE3D8" w14:textId="77777777">
      <w:pPr>
        <w:pStyle w:val="ListParagraph"/>
        <w:autoSpaceDE w:val="0"/>
        <w:autoSpaceDN w:val="0"/>
        <w:adjustRightInd w:val="0"/>
        <w:ind w:left="0"/>
        <w:rPr>
          <w:rFonts w:ascii="Arial" w:hAnsi="Arial" w:cs="Arial"/>
        </w:rPr>
      </w:pPr>
    </w:p>
    <w:p w:rsidRPr="00D50326" w:rsidR="00D41449" w:rsidP="00BC168A" w:rsidRDefault="00007A21" w14:paraId="21449D7A" w14:textId="77777777">
      <w:pPr>
        <w:pStyle w:val="GNHS3"/>
        <w:ind w:left="720" w:hanging="720"/>
      </w:pPr>
      <w:r>
        <w:t>3.2</w:t>
      </w:r>
      <w:r w:rsidR="00121512">
        <w:t>5</w:t>
      </w:r>
      <w:r w:rsidR="00DD6487">
        <w:tab/>
        <w:t>Employment Status of Main Applicant O</w:t>
      </w:r>
      <w:r w:rsidRPr="00D50326" w:rsidR="00D41449">
        <w:t xml:space="preserve">wed a </w:t>
      </w:r>
      <w:r w:rsidR="00DD6487">
        <w:t>Prevention or R</w:t>
      </w:r>
      <w:r w:rsidRPr="00D50326" w:rsidR="00B6715A">
        <w:t xml:space="preserve">elief </w:t>
      </w:r>
      <w:r w:rsidR="00DD6487">
        <w:t>D</w:t>
      </w:r>
      <w:r w:rsidRPr="00D50326" w:rsidR="00D41449">
        <w:t>uty</w:t>
      </w:r>
      <w:r w:rsidR="00DD6487">
        <w:t xml:space="preserve"> (compared to ONS Population S</w:t>
      </w:r>
      <w:r w:rsidRPr="00D50326" w:rsidR="00135BA7">
        <w:t>urvey)</w:t>
      </w:r>
      <w:r w:rsidRPr="00D50326" w:rsidR="001B3C21">
        <w:rPr>
          <w:rStyle w:val="FootnoteReference"/>
          <w:b w:val="0"/>
          <w:sz w:val="16"/>
          <w:szCs w:val="16"/>
        </w:rPr>
        <w:footnoteReference w:id="13"/>
      </w:r>
    </w:p>
    <w:p w:rsidRPr="00D50326" w:rsidR="00D41449" w:rsidP="00D41449" w:rsidRDefault="00D41449" w14:paraId="605A25A7" w14:textId="77777777">
      <w:pPr>
        <w:autoSpaceDE w:val="0"/>
        <w:autoSpaceDN w:val="0"/>
        <w:adjustRightInd w:val="0"/>
        <w:rPr>
          <w:rFonts w:ascii="Arial" w:hAnsi="Arial" w:cs="Arial"/>
        </w:rPr>
      </w:pPr>
    </w:p>
    <w:tbl>
      <w:tblPr>
        <w:tblStyle w:val="TableGrid"/>
        <w:tblW w:w="0" w:type="auto"/>
        <w:tblLook w:val="04A0" w:firstRow="1" w:lastRow="0" w:firstColumn="1" w:lastColumn="0" w:noHBand="0" w:noVBand="1"/>
        <w:tblCaption w:val="Employment Status of Main Applicant Owed a Prevention or Relief Duty (compared to ONS Population Survey) "/>
        <w:tblDescription w:val="Figures shown in % by East of England, Norwich and South Norfolk"/>
      </w:tblPr>
      <w:tblGrid>
        <w:gridCol w:w="2830"/>
        <w:gridCol w:w="1276"/>
        <w:gridCol w:w="1276"/>
        <w:gridCol w:w="1307"/>
        <w:gridCol w:w="1103"/>
      </w:tblGrid>
      <w:tr w:rsidRPr="00D50326" w:rsidR="00D50326" w:rsidTr="007A2718" w14:paraId="1CE08F53" w14:textId="77777777">
        <w:trPr>
          <w:cantSplit/>
          <w:tblHeader/>
        </w:trPr>
        <w:tc>
          <w:tcPr>
            <w:tcW w:w="2830" w:type="dxa"/>
            <w:shd w:val="clear" w:color="auto" w:fill="F2F2F2" w:themeFill="background1" w:themeFillShade="F2"/>
          </w:tcPr>
          <w:p w:rsidRPr="00D50326" w:rsidR="00B6715A" w:rsidP="00D41449" w:rsidRDefault="00B6715A" w14:paraId="7D634F12" w14:textId="77777777">
            <w:pPr>
              <w:autoSpaceDE w:val="0"/>
              <w:autoSpaceDN w:val="0"/>
              <w:adjustRightInd w:val="0"/>
              <w:rPr>
                <w:rFonts w:ascii="Arial" w:hAnsi="Arial" w:cs="Arial"/>
                <w:b/>
              </w:rPr>
            </w:pPr>
            <w:r w:rsidRPr="00D50326">
              <w:rPr>
                <w:rFonts w:ascii="Arial" w:hAnsi="Arial" w:cs="Arial"/>
                <w:b/>
              </w:rPr>
              <w:t>Employment status</w:t>
            </w:r>
          </w:p>
        </w:tc>
        <w:tc>
          <w:tcPr>
            <w:tcW w:w="1276" w:type="dxa"/>
            <w:shd w:val="clear" w:color="auto" w:fill="F2F2F2" w:themeFill="background1" w:themeFillShade="F2"/>
          </w:tcPr>
          <w:p w:rsidRPr="00D50326" w:rsidR="00B6715A" w:rsidP="00D41449" w:rsidRDefault="00B6715A" w14:paraId="65DD4E23" w14:textId="77777777">
            <w:pPr>
              <w:autoSpaceDE w:val="0"/>
              <w:autoSpaceDN w:val="0"/>
              <w:adjustRightInd w:val="0"/>
              <w:rPr>
                <w:rFonts w:ascii="Arial" w:hAnsi="Arial" w:cs="Arial"/>
                <w:b/>
              </w:rPr>
            </w:pPr>
            <w:r w:rsidRPr="00D50326">
              <w:rPr>
                <w:rFonts w:ascii="Arial" w:hAnsi="Arial" w:cs="Arial"/>
                <w:b/>
              </w:rPr>
              <w:t>East</w:t>
            </w:r>
          </w:p>
        </w:tc>
        <w:tc>
          <w:tcPr>
            <w:tcW w:w="1276" w:type="dxa"/>
            <w:shd w:val="clear" w:color="auto" w:fill="F2F2F2" w:themeFill="background1" w:themeFillShade="F2"/>
          </w:tcPr>
          <w:p w:rsidRPr="00D50326" w:rsidR="00B6715A" w:rsidP="00D41449" w:rsidRDefault="00B6715A" w14:paraId="760B846E" w14:textId="77777777">
            <w:pPr>
              <w:autoSpaceDE w:val="0"/>
              <w:autoSpaceDN w:val="0"/>
              <w:adjustRightInd w:val="0"/>
              <w:rPr>
                <w:rFonts w:ascii="Arial" w:hAnsi="Arial" w:cs="Arial"/>
                <w:b/>
              </w:rPr>
            </w:pPr>
            <w:r w:rsidRPr="00D50326">
              <w:rPr>
                <w:rFonts w:ascii="Arial" w:hAnsi="Arial" w:cs="Arial"/>
                <w:b/>
              </w:rPr>
              <w:t>BDC</w:t>
            </w:r>
          </w:p>
        </w:tc>
        <w:tc>
          <w:tcPr>
            <w:tcW w:w="1307" w:type="dxa"/>
            <w:shd w:val="clear" w:color="auto" w:fill="F2F2F2" w:themeFill="background1" w:themeFillShade="F2"/>
          </w:tcPr>
          <w:p w:rsidRPr="00D50326" w:rsidR="00B6715A" w:rsidP="00D41449" w:rsidRDefault="00B6715A" w14:paraId="32E4697F" w14:textId="77777777">
            <w:pPr>
              <w:autoSpaceDE w:val="0"/>
              <w:autoSpaceDN w:val="0"/>
              <w:adjustRightInd w:val="0"/>
              <w:rPr>
                <w:rFonts w:ascii="Arial" w:hAnsi="Arial" w:cs="Arial"/>
                <w:b/>
              </w:rPr>
            </w:pPr>
            <w:r w:rsidRPr="00D50326">
              <w:rPr>
                <w:rFonts w:ascii="Arial" w:hAnsi="Arial" w:cs="Arial"/>
                <w:b/>
              </w:rPr>
              <w:t>NCC</w:t>
            </w:r>
          </w:p>
        </w:tc>
        <w:tc>
          <w:tcPr>
            <w:tcW w:w="1103" w:type="dxa"/>
            <w:shd w:val="clear" w:color="auto" w:fill="F2F2F2" w:themeFill="background1" w:themeFillShade="F2"/>
          </w:tcPr>
          <w:p w:rsidRPr="00D50326" w:rsidR="00B6715A" w:rsidP="00D41449" w:rsidRDefault="00B6715A" w14:paraId="7FAFF896" w14:textId="77777777">
            <w:pPr>
              <w:autoSpaceDE w:val="0"/>
              <w:autoSpaceDN w:val="0"/>
              <w:adjustRightInd w:val="0"/>
              <w:rPr>
                <w:rFonts w:ascii="Arial" w:hAnsi="Arial" w:cs="Arial"/>
                <w:b/>
              </w:rPr>
            </w:pPr>
            <w:r w:rsidRPr="00D50326">
              <w:rPr>
                <w:rFonts w:ascii="Arial" w:hAnsi="Arial" w:cs="Arial"/>
                <w:b/>
              </w:rPr>
              <w:t>SNC</w:t>
            </w:r>
          </w:p>
        </w:tc>
      </w:tr>
      <w:tr w:rsidRPr="00D50326" w:rsidR="00D50326" w:rsidTr="007A2718" w14:paraId="782B5AE5" w14:textId="77777777">
        <w:trPr>
          <w:cantSplit/>
          <w:tblHeader/>
        </w:trPr>
        <w:tc>
          <w:tcPr>
            <w:tcW w:w="2830" w:type="dxa"/>
          </w:tcPr>
          <w:p w:rsidRPr="00D50326" w:rsidR="00B6715A" w:rsidP="00D41449" w:rsidRDefault="00B6715A" w14:paraId="6DE72E4E" w14:textId="77777777">
            <w:pPr>
              <w:autoSpaceDE w:val="0"/>
              <w:autoSpaceDN w:val="0"/>
              <w:adjustRightInd w:val="0"/>
              <w:rPr>
                <w:rFonts w:ascii="Arial" w:hAnsi="Arial" w:cs="Arial"/>
              </w:rPr>
            </w:pPr>
            <w:r w:rsidRPr="00D50326">
              <w:rPr>
                <w:rFonts w:ascii="Arial" w:hAnsi="Arial" w:cs="Arial"/>
              </w:rPr>
              <w:t>Registered unemployed</w:t>
            </w:r>
          </w:p>
        </w:tc>
        <w:tc>
          <w:tcPr>
            <w:tcW w:w="1276" w:type="dxa"/>
          </w:tcPr>
          <w:p w:rsidRPr="00D50326" w:rsidR="00B6715A" w:rsidP="00D41449" w:rsidRDefault="00B6715A" w14:paraId="58E8474B" w14:textId="77777777">
            <w:pPr>
              <w:autoSpaceDE w:val="0"/>
              <w:autoSpaceDN w:val="0"/>
              <w:adjustRightInd w:val="0"/>
              <w:rPr>
                <w:rFonts w:ascii="Arial" w:hAnsi="Arial" w:cs="Arial"/>
              </w:rPr>
            </w:pPr>
            <w:r w:rsidRPr="00D50326">
              <w:rPr>
                <w:rFonts w:ascii="Arial" w:hAnsi="Arial" w:cs="Arial"/>
              </w:rPr>
              <w:t>19.97%</w:t>
            </w:r>
          </w:p>
        </w:tc>
        <w:tc>
          <w:tcPr>
            <w:tcW w:w="1276" w:type="dxa"/>
          </w:tcPr>
          <w:p w:rsidRPr="00D50326" w:rsidR="00B6715A" w:rsidP="00D41449" w:rsidRDefault="00B6715A" w14:paraId="6203E3E2" w14:textId="77777777">
            <w:pPr>
              <w:autoSpaceDE w:val="0"/>
              <w:autoSpaceDN w:val="0"/>
              <w:adjustRightInd w:val="0"/>
              <w:rPr>
                <w:rFonts w:ascii="Arial" w:hAnsi="Arial" w:cs="Arial"/>
              </w:rPr>
            </w:pPr>
            <w:r w:rsidRPr="00D50326">
              <w:rPr>
                <w:rFonts w:ascii="Arial" w:hAnsi="Arial" w:cs="Arial"/>
              </w:rPr>
              <w:t>8.8%</w:t>
            </w:r>
            <w:r w:rsidRPr="00D50326" w:rsidR="00334F3C">
              <w:rPr>
                <w:rFonts w:ascii="Arial" w:hAnsi="Arial" w:cs="Arial"/>
              </w:rPr>
              <w:t xml:space="preserve"> (2.3%)</w:t>
            </w:r>
          </w:p>
        </w:tc>
        <w:tc>
          <w:tcPr>
            <w:tcW w:w="1307" w:type="dxa"/>
          </w:tcPr>
          <w:p w:rsidRPr="00D50326" w:rsidR="00B6715A" w:rsidP="00D41449" w:rsidRDefault="00B6715A" w14:paraId="4A4A348F" w14:textId="77777777">
            <w:pPr>
              <w:autoSpaceDE w:val="0"/>
              <w:autoSpaceDN w:val="0"/>
              <w:adjustRightInd w:val="0"/>
              <w:rPr>
                <w:rFonts w:ascii="Arial" w:hAnsi="Arial" w:cs="Arial"/>
              </w:rPr>
            </w:pPr>
            <w:r w:rsidRPr="00D50326">
              <w:rPr>
                <w:rFonts w:ascii="Arial" w:hAnsi="Arial" w:cs="Arial"/>
              </w:rPr>
              <w:t>25.63%</w:t>
            </w:r>
            <w:r w:rsidRPr="00D50326" w:rsidR="001B3C21">
              <w:rPr>
                <w:rFonts w:ascii="Arial" w:hAnsi="Arial" w:cs="Arial"/>
              </w:rPr>
              <w:t xml:space="preserve"> (4.1%)</w:t>
            </w:r>
          </w:p>
        </w:tc>
        <w:tc>
          <w:tcPr>
            <w:tcW w:w="1103" w:type="dxa"/>
          </w:tcPr>
          <w:p w:rsidRPr="00D50326" w:rsidR="00B6715A" w:rsidP="00D41449" w:rsidRDefault="00B6715A" w14:paraId="1BCF3B87" w14:textId="77777777">
            <w:pPr>
              <w:autoSpaceDE w:val="0"/>
              <w:autoSpaceDN w:val="0"/>
              <w:adjustRightInd w:val="0"/>
              <w:rPr>
                <w:rFonts w:ascii="Arial" w:hAnsi="Arial" w:cs="Arial"/>
              </w:rPr>
            </w:pPr>
            <w:r w:rsidRPr="00D50326">
              <w:rPr>
                <w:rFonts w:ascii="Arial" w:hAnsi="Arial" w:cs="Arial"/>
              </w:rPr>
              <w:t>11.99%</w:t>
            </w:r>
          </w:p>
        </w:tc>
      </w:tr>
      <w:tr w:rsidRPr="00D50326" w:rsidR="00D50326" w:rsidTr="007A2718" w14:paraId="457E7FD9" w14:textId="77777777">
        <w:trPr>
          <w:cantSplit/>
          <w:tblHeader/>
        </w:trPr>
        <w:tc>
          <w:tcPr>
            <w:tcW w:w="2830" w:type="dxa"/>
          </w:tcPr>
          <w:p w:rsidRPr="00D50326" w:rsidR="00B6715A" w:rsidP="00D41449" w:rsidRDefault="00B6715A" w14:paraId="324AED84" w14:textId="77777777">
            <w:pPr>
              <w:autoSpaceDE w:val="0"/>
              <w:autoSpaceDN w:val="0"/>
              <w:adjustRightInd w:val="0"/>
              <w:rPr>
                <w:rFonts w:ascii="Arial" w:hAnsi="Arial" w:cs="Arial"/>
              </w:rPr>
            </w:pPr>
            <w:r w:rsidRPr="00D50326">
              <w:rPr>
                <w:rFonts w:ascii="Arial" w:hAnsi="Arial" w:cs="Arial"/>
              </w:rPr>
              <w:t>Not working due to long term illness/disability</w:t>
            </w:r>
          </w:p>
        </w:tc>
        <w:tc>
          <w:tcPr>
            <w:tcW w:w="1276" w:type="dxa"/>
          </w:tcPr>
          <w:p w:rsidRPr="00D50326" w:rsidR="00B6715A" w:rsidP="00D41449" w:rsidRDefault="00B6715A" w14:paraId="7F86B133" w14:textId="77777777">
            <w:pPr>
              <w:autoSpaceDE w:val="0"/>
              <w:autoSpaceDN w:val="0"/>
              <w:adjustRightInd w:val="0"/>
              <w:rPr>
                <w:rFonts w:ascii="Arial" w:hAnsi="Arial" w:cs="Arial"/>
              </w:rPr>
            </w:pPr>
            <w:r w:rsidRPr="00D50326">
              <w:rPr>
                <w:rFonts w:ascii="Arial" w:hAnsi="Arial" w:cs="Arial"/>
              </w:rPr>
              <w:t>19.63%</w:t>
            </w:r>
          </w:p>
        </w:tc>
        <w:tc>
          <w:tcPr>
            <w:tcW w:w="1276" w:type="dxa"/>
          </w:tcPr>
          <w:p w:rsidRPr="00D50326" w:rsidR="00B6715A" w:rsidP="00D41449" w:rsidRDefault="00B6715A" w14:paraId="6D48DFF8" w14:textId="77777777">
            <w:pPr>
              <w:autoSpaceDE w:val="0"/>
              <w:autoSpaceDN w:val="0"/>
              <w:adjustRightInd w:val="0"/>
              <w:rPr>
                <w:rFonts w:ascii="Arial" w:hAnsi="Arial" w:cs="Arial"/>
              </w:rPr>
            </w:pPr>
            <w:r w:rsidRPr="00D50326">
              <w:rPr>
                <w:rFonts w:ascii="Arial" w:hAnsi="Arial" w:cs="Arial"/>
              </w:rPr>
              <w:t>21</w:t>
            </w:r>
            <w:r w:rsidRPr="00D50326" w:rsidR="00FE73F7">
              <w:rPr>
                <w:rFonts w:ascii="Arial" w:hAnsi="Arial" w:cs="Arial"/>
              </w:rPr>
              <w:t>.76%</w:t>
            </w:r>
            <w:r w:rsidRPr="00D50326" w:rsidR="00334F3C">
              <w:rPr>
                <w:rFonts w:ascii="Arial" w:hAnsi="Arial" w:cs="Arial"/>
              </w:rPr>
              <w:t xml:space="preserve"> (n/a)</w:t>
            </w:r>
          </w:p>
        </w:tc>
        <w:tc>
          <w:tcPr>
            <w:tcW w:w="1307" w:type="dxa"/>
          </w:tcPr>
          <w:p w:rsidRPr="00D50326" w:rsidR="00B6715A" w:rsidP="00D41449" w:rsidRDefault="00FE73F7" w14:paraId="1FC52368" w14:textId="77777777">
            <w:pPr>
              <w:autoSpaceDE w:val="0"/>
              <w:autoSpaceDN w:val="0"/>
              <w:adjustRightInd w:val="0"/>
              <w:rPr>
                <w:rFonts w:ascii="Arial" w:hAnsi="Arial" w:cs="Arial"/>
              </w:rPr>
            </w:pPr>
            <w:r w:rsidRPr="00D50326">
              <w:rPr>
                <w:rFonts w:ascii="Arial" w:hAnsi="Arial" w:cs="Arial"/>
              </w:rPr>
              <w:t>18.54%</w:t>
            </w:r>
            <w:r w:rsidRPr="00D50326" w:rsidR="001B3C21">
              <w:rPr>
                <w:rFonts w:ascii="Arial" w:hAnsi="Arial" w:cs="Arial"/>
              </w:rPr>
              <w:t xml:space="preserve"> (26.4%)</w:t>
            </w:r>
          </w:p>
        </w:tc>
        <w:tc>
          <w:tcPr>
            <w:tcW w:w="1103" w:type="dxa"/>
          </w:tcPr>
          <w:p w:rsidRPr="00D50326" w:rsidR="00B6715A" w:rsidP="00D41449" w:rsidRDefault="00FE73F7" w14:paraId="68EC1F6D" w14:textId="77777777">
            <w:pPr>
              <w:autoSpaceDE w:val="0"/>
              <w:autoSpaceDN w:val="0"/>
              <w:adjustRightInd w:val="0"/>
              <w:rPr>
                <w:rFonts w:ascii="Arial" w:hAnsi="Arial" w:cs="Arial"/>
              </w:rPr>
            </w:pPr>
            <w:r w:rsidRPr="00D50326">
              <w:rPr>
                <w:rFonts w:ascii="Arial" w:hAnsi="Arial" w:cs="Arial"/>
              </w:rPr>
              <w:t>31.16%</w:t>
            </w:r>
          </w:p>
        </w:tc>
      </w:tr>
      <w:tr w:rsidRPr="00D50326" w:rsidR="00D50326" w:rsidTr="007A2718" w14:paraId="641FFAB8" w14:textId="77777777">
        <w:trPr>
          <w:cantSplit/>
          <w:tblHeader/>
        </w:trPr>
        <w:tc>
          <w:tcPr>
            <w:tcW w:w="2830" w:type="dxa"/>
          </w:tcPr>
          <w:p w:rsidRPr="00D50326" w:rsidR="00FE73F7" w:rsidP="00D41449" w:rsidRDefault="00FE73F7" w14:paraId="20FB8D36" w14:textId="77777777">
            <w:pPr>
              <w:autoSpaceDE w:val="0"/>
              <w:autoSpaceDN w:val="0"/>
              <w:adjustRightInd w:val="0"/>
              <w:rPr>
                <w:rFonts w:ascii="Arial" w:hAnsi="Arial" w:cs="Arial"/>
              </w:rPr>
            </w:pPr>
            <w:r w:rsidRPr="00D50326">
              <w:rPr>
                <w:rFonts w:ascii="Arial" w:hAnsi="Arial" w:cs="Arial"/>
              </w:rPr>
              <w:t>Full time work</w:t>
            </w:r>
          </w:p>
        </w:tc>
        <w:tc>
          <w:tcPr>
            <w:tcW w:w="1276" w:type="dxa"/>
          </w:tcPr>
          <w:p w:rsidRPr="00D50326" w:rsidR="00FE73F7" w:rsidP="00D41449" w:rsidRDefault="00FE73F7" w14:paraId="6D65213D" w14:textId="77777777">
            <w:pPr>
              <w:autoSpaceDE w:val="0"/>
              <w:autoSpaceDN w:val="0"/>
              <w:adjustRightInd w:val="0"/>
              <w:rPr>
                <w:rFonts w:ascii="Arial" w:hAnsi="Arial" w:cs="Arial"/>
              </w:rPr>
            </w:pPr>
            <w:r w:rsidRPr="00D50326">
              <w:rPr>
                <w:rFonts w:ascii="Arial" w:hAnsi="Arial" w:cs="Arial"/>
              </w:rPr>
              <w:t>16.09%</w:t>
            </w:r>
          </w:p>
        </w:tc>
        <w:tc>
          <w:tcPr>
            <w:tcW w:w="1276" w:type="dxa"/>
          </w:tcPr>
          <w:p w:rsidRPr="00D50326" w:rsidR="00FE73F7" w:rsidP="00D41449" w:rsidRDefault="00FE73F7" w14:paraId="5BB90C15" w14:textId="77777777">
            <w:pPr>
              <w:autoSpaceDE w:val="0"/>
              <w:autoSpaceDN w:val="0"/>
              <w:adjustRightInd w:val="0"/>
              <w:rPr>
                <w:rFonts w:ascii="Arial" w:hAnsi="Arial" w:cs="Arial"/>
              </w:rPr>
            </w:pPr>
            <w:r w:rsidRPr="00D50326">
              <w:rPr>
                <w:rFonts w:ascii="Arial" w:hAnsi="Arial" w:cs="Arial"/>
              </w:rPr>
              <w:t>20.73%</w:t>
            </w:r>
          </w:p>
        </w:tc>
        <w:tc>
          <w:tcPr>
            <w:tcW w:w="1307" w:type="dxa"/>
          </w:tcPr>
          <w:p w:rsidRPr="00D50326" w:rsidR="00FE73F7" w:rsidP="001B3C21" w:rsidRDefault="00FE73F7" w14:paraId="65116342" w14:textId="77777777">
            <w:pPr>
              <w:autoSpaceDE w:val="0"/>
              <w:autoSpaceDN w:val="0"/>
              <w:adjustRightInd w:val="0"/>
              <w:rPr>
                <w:rFonts w:ascii="Arial" w:hAnsi="Arial" w:cs="Arial"/>
              </w:rPr>
            </w:pPr>
            <w:r w:rsidRPr="00D50326">
              <w:rPr>
                <w:rFonts w:ascii="Arial" w:hAnsi="Arial" w:cs="Arial"/>
              </w:rPr>
              <w:t>17.70%</w:t>
            </w:r>
            <w:r w:rsidRPr="00D50326" w:rsidR="001B3C21">
              <w:rPr>
                <w:rFonts w:ascii="Arial" w:hAnsi="Arial" w:cs="Arial"/>
              </w:rPr>
              <w:t xml:space="preserve"> </w:t>
            </w:r>
            <w:r w:rsidRPr="00D50326" w:rsidR="00334F3C">
              <w:rPr>
                <w:rFonts w:ascii="Arial" w:hAnsi="Arial" w:cs="Arial"/>
              </w:rPr>
              <w:t>(73.3%)</w:t>
            </w:r>
          </w:p>
        </w:tc>
        <w:tc>
          <w:tcPr>
            <w:tcW w:w="1103" w:type="dxa"/>
          </w:tcPr>
          <w:p w:rsidRPr="00D50326" w:rsidR="00FE73F7" w:rsidP="00D41449" w:rsidRDefault="00FE73F7" w14:paraId="6719CED0" w14:textId="77777777">
            <w:pPr>
              <w:autoSpaceDE w:val="0"/>
              <w:autoSpaceDN w:val="0"/>
              <w:adjustRightInd w:val="0"/>
              <w:rPr>
                <w:rFonts w:ascii="Arial" w:hAnsi="Arial" w:cs="Arial"/>
              </w:rPr>
            </w:pPr>
            <w:r w:rsidRPr="00D50326">
              <w:rPr>
                <w:rFonts w:ascii="Arial" w:hAnsi="Arial" w:cs="Arial"/>
              </w:rPr>
              <w:t>16.78%</w:t>
            </w:r>
          </w:p>
        </w:tc>
      </w:tr>
      <w:tr w:rsidRPr="00D50326" w:rsidR="00D50326" w:rsidTr="007A2718" w14:paraId="5D97E5DE" w14:textId="77777777">
        <w:trPr>
          <w:cantSplit/>
          <w:tblHeader/>
        </w:trPr>
        <w:tc>
          <w:tcPr>
            <w:tcW w:w="2830" w:type="dxa"/>
          </w:tcPr>
          <w:p w:rsidRPr="00D50326" w:rsidR="00FE73F7" w:rsidP="00D41449" w:rsidRDefault="00FE73F7" w14:paraId="39E25A08" w14:textId="77777777">
            <w:pPr>
              <w:autoSpaceDE w:val="0"/>
              <w:autoSpaceDN w:val="0"/>
              <w:adjustRightInd w:val="0"/>
              <w:rPr>
                <w:rFonts w:ascii="Arial" w:hAnsi="Arial" w:cs="Arial"/>
              </w:rPr>
            </w:pPr>
            <w:r w:rsidRPr="00D50326">
              <w:rPr>
                <w:rFonts w:ascii="Arial" w:hAnsi="Arial" w:cs="Arial"/>
              </w:rPr>
              <w:t>Part time work</w:t>
            </w:r>
          </w:p>
        </w:tc>
        <w:tc>
          <w:tcPr>
            <w:tcW w:w="1276" w:type="dxa"/>
          </w:tcPr>
          <w:p w:rsidRPr="00D50326" w:rsidR="00FE73F7" w:rsidP="00D41449" w:rsidRDefault="00FE73F7" w14:paraId="3BA4C20B" w14:textId="77777777">
            <w:pPr>
              <w:autoSpaceDE w:val="0"/>
              <w:autoSpaceDN w:val="0"/>
              <w:adjustRightInd w:val="0"/>
              <w:rPr>
                <w:rFonts w:ascii="Arial" w:hAnsi="Arial" w:cs="Arial"/>
              </w:rPr>
            </w:pPr>
            <w:r w:rsidRPr="00D50326">
              <w:rPr>
                <w:rFonts w:ascii="Arial" w:hAnsi="Arial" w:cs="Arial"/>
              </w:rPr>
              <w:t>14.20%</w:t>
            </w:r>
          </w:p>
        </w:tc>
        <w:tc>
          <w:tcPr>
            <w:tcW w:w="1276" w:type="dxa"/>
          </w:tcPr>
          <w:p w:rsidRPr="00D50326" w:rsidR="00FE73F7" w:rsidP="00D41449" w:rsidRDefault="00FE73F7" w14:paraId="3AB4F15E" w14:textId="77777777">
            <w:pPr>
              <w:autoSpaceDE w:val="0"/>
              <w:autoSpaceDN w:val="0"/>
              <w:adjustRightInd w:val="0"/>
              <w:rPr>
                <w:rFonts w:ascii="Arial" w:hAnsi="Arial" w:cs="Arial"/>
              </w:rPr>
            </w:pPr>
            <w:r w:rsidRPr="00D50326">
              <w:rPr>
                <w:rFonts w:ascii="Arial" w:hAnsi="Arial" w:cs="Arial"/>
              </w:rPr>
              <w:t>25.91%</w:t>
            </w:r>
          </w:p>
        </w:tc>
        <w:tc>
          <w:tcPr>
            <w:tcW w:w="1307" w:type="dxa"/>
          </w:tcPr>
          <w:p w:rsidRPr="00D50326" w:rsidR="00FE73F7" w:rsidP="00D41449" w:rsidRDefault="00FE73F7" w14:paraId="4A9C8707" w14:textId="77777777">
            <w:pPr>
              <w:autoSpaceDE w:val="0"/>
              <w:autoSpaceDN w:val="0"/>
              <w:adjustRightInd w:val="0"/>
              <w:rPr>
                <w:rFonts w:ascii="Arial" w:hAnsi="Arial" w:cs="Arial"/>
              </w:rPr>
            </w:pPr>
            <w:r w:rsidRPr="00D50326">
              <w:rPr>
                <w:rFonts w:ascii="Arial" w:hAnsi="Arial" w:cs="Arial"/>
              </w:rPr>
              <w:t>11.14%</w:t>
            </w:r>
          </w:p>
        </w:tc>
        <w:tc>
          <w:tcPr>
            <w:tcW w:w="1103" w:type="dxa"/>
          </w:tcPr>
          <w:p w:rsidRPr="00D50326" w:rsidR="00FE73F7" w:rsidP="00D41449" w:rsidRDefault="00FE73F7" w14:paraId="71F4F640" w14:textId="77777777">
            <w:pPr>
              <w:autoSpaceDE w:val="0"/>
              <w:autoSpaceDN w:val="0"/>
              <w:adjustRightInd w:val="0"/>
              <w:rPr>
                <w:rFonts w:ascii="Arial" w:hAnsi="Arial" w:cs="Arial"/>
              </w:rPr>
            </w:pPr>
            <w:r w:rsidRPr="00D50326">
              <w:rPr>
                <w:rFonts w:ascii="Arial" w:hAnsi="Arial" w:cs="Arial"/>
              </w:rPr>
              <w:t>11.64%</w:t>
            </w:r>
          </w:p>
        </w:tc>
      </w:tr>
      <w:tr w:rsidRPr="00D50326" w:rsidR="00D50326" w:rsidTr="007A2718" w14:paraId="03E6635B" w14:textId="77777777">
        <w:trPr>
          <w:cantSplit/>
          <w:tblHeader/>
        </w:trPr>
        <w:tc>
          <w:tcPr>
            <w:tcW w:w="2830" w:type="dxa"/>
          </w:tcPr>
          <w:p w:rsidRPr="00D50326" w:rsidR="00FE73F7" w:rsidP="00D41449" w:rsidRDefault="00FE73F7" w14:paraId="275A4FCA" w14:textId="77777777">
            <w:pPr>
              <w:autoSpaceDE w:val="0"/>
              <w:autoSpaceDN w:val="0"/>
              <w:adjustRightInd w:val="0"/>
              <w:rPr>
                <w:rFonts w:ascii="Arial" w:hAnsi="Arial" w:cs="Arial"/>
              </w:rPr>
            </w:pPr>
            <w:r w:rsidRPr="00D50326">
              <w:rPr>
                <w:rFonts w:ascii="Arial" w:hAnsi="Arial" w:cs="Arial"/>
              </w:rPr>
              <w:t>Not seeking work/at home</w:t>
            </w:r>
          </w:p>
        </w:tc>
        <w:tc>
          <w:tcPr>
            <w:tcW w:w="1276" w:type="dxa"/>
          </w:tcPr>
          <w:p w:rsidRPr="00D50326" w:rsidR="00FE73F7" w:rsidP="00D41449" w:rsidRDefault="00FE73F7" w14:paraId="4EB3BF90" w14:textId="77777777">
            <w:pPr>
              <w:autoSpaceDE w:val="0"/>
              <w:autoSpaceDN w:val="0"/>
              <w:adjustRightInd w:val="0"/>
              <w:rPr>
                <w:rFonts w:ascii="Arial" w:hAnsi="Arial" w:cs="Arial"/>
              </w:rPr>
            </w:pPr>
            <w:r w:rsidRPr="00D50326">
              <w:rPr>
                <w:rFonts w:ascii="Arial" w:hAnsi="Arial" w:cs="Arial"/>
              </w:rPr>
              <w:t>11.76%</w:t>
            </w:r>
          </w:p>
        </w:tc>
        <w:tc>
          <w:tcPr>
            <w:tcW w:w="1276" w:type="dxa"/>
          </w:tcPr>
          <w:p w:rsidRPr="00D50326" w:rsidR="00FE73F7" w:rsidP="00D41449" w:rsidRDefault="00FE73F7" w14:paraId="60C8E694" w14:textId="77777777">
            <w:pPr>
              <w:autoSpaceDE w:val="0"/>
              <w:autoSpaceDN w:val="0"/>
              <w:adjustRightInd w:val="0"/>
              <w:rPr>
                <w:rFonts w:ascii="Arial" w:hAnsi="Arial" w:cs="Arial"/>
              </w:rPr>
            </w:pPr>
            <w:r w:rsidRPr="00D50326">
              <w:rPr>
                <w:rFonts w:ascii="Arial" w:hAnsi="Arial" w:cs="Arial"/>
              </w:rPr>
              <w:t>10.36%</w:t>
            </w:r>
          </w:p>
        </w:tc>
        <w:tc>
          <w:tcPr>
            <w:tcW w:w="1307" w:type="dxa"/>
          </w:tcPr>
          <w:p w:rsidRPr="00D50326" w:rsidR="00FE73F7" w:rsidP="00D41449" w:rsidRDefault="00FE73F7" w14:paraId="1642B1DB" w14:textId="77777777">
            <w:pPr>
              <w:autoSpaceDE w:val="0"/>
              <w:autoSpaceDN w:val="0"/>
              <w:adjustRightInd w:val="0"/>
              <w:rPr>
                <w:rFonts w:ascii="Arial" w:hAnsi="Arial" w:cs="Arial"/>
              </w:rPr>
            </w:pPr>
            <w:r w:rsidRPr="00D50326">
              <w:rPr>
                <w:rFonts w:ascii="Arial" w:hAnsi="Arial" w:cs="Arial"/>
              </w:rPr>
              <w:t>6.18%</w:t>
            </w:r>
          </w:p>
        </w:tc>
        <w:tc>
          <w:tcPr>
            <w:tcW w:w="1103" w:type="dxa"/>
          </w:tcPr>
          <w:p w:rsidRPr="00D50326" w:rsidR="00FE73F7" w:rsidP="00D41449" w:rsidRDefault="00FE73F7" w14:paraId="17ADDC3A" w14:textId="77777777">
            <w:pPr>
              <w:autoSpaceDE w:val="0"/>
              <w:autoSpaceDN w:val="0"/>
              <w:adjustRightInd w:val="0"/>
              <w:rPr>
                <w:rFonts w:ascii="Arial" w:hAnsi="Arial" w:cs="Arial"/>
              </w:rPr>
            </w:pPr>
            <w:r w:rsidRPr="00D50326">
              <w:rPr>
                <w:rFonts w:ascii="Arial" w:hAnsi="Arial" w:cs="Arial"/>
              </w:rPr>
              <w:t>13.01%</w:t>
            </w:r>
          </w:p>
        </w:tc>
      </w:tr>
      <w:tr w:rsidRPr="00D50326" w:rsidR="00D50326" w:rsidTr="007A2718" w14:paraId="44D70CC3" w14:textId="77777777">
        <w:trPr>
          <w:cantSplit/>
          <w:tblHeader/>
        </w:trPr>
        <w:tc>
          <w:tcPr>
            <w:tcW w:w="2830" w:type="dxa"/>
          </w:tcPr>
          <w:p w:rsidRPr="00D50326" w:rsidR="00FE73F7" w:rsidP="00D41449" w:rsidRDefault="00FE73F7" w14:paraId="387E5C12" w14:textId="77777777">
            <w:pPr>
              <w:autoSpaceDE w:val="0"/>
              <w:autoSpaceDN w:val="0"/>
              <w:adjustRightInd w:val="0"/>
              <w:rPr>
                <w:rFonts w:ascii="Arial" w:hAnsi="Arial" w:cs="Arial"/>
              </w:rPr>
            </w:pPr>
            <w:r w:rsidRPr="00D50326">
              <w:rPr>
                <w:rFonts w:ascii="Arial" w:hAnsi="Arial" w:cs="Arial"/>
              </w:rPr>
              <w:t>Not registered unemployed but seeking work</w:t>
            </w:r>
          </w:p>
        </w:tc>
        <w:tc>
          <w:tcPr>
            <w:tcW w:w="1276" w:type="dxa"/>
          </w:tcPr>
          <w:p w:rsidRPr="00D50326" w:rsidR="00FE73F7" w:rsidP="00D41449" w:rsidRDefault="00FE73F7" w14:paraId="629EF95A" w14:textId="77777777">
            <w:pPr>
              <w:autoSpaceDE w:val="0"/>
              <w:autoSpaceDN w:val="0"/>
              <w:adjustRightInd w:val="0"/>
              <w:rPr>
                <w:rFonts w:ascii="Arial" w:hAnsi="Arial" w:cs="Arial"/>
              </w:rPr>
            </w:pPr>
            <w:r w:rsidRPr="00D50326">
              <w:rPr>
                <w:rFonts w:ascii="Arial" w:hAnsi="Arial" w:cs="Arial"/>
              </w:rPr>
              <w:t>4.22%</w:t>
            </w:r>
          </w:p>
        </w:tc>
        <w:tc>
          <w:tcPr>
            <w:tcW w:w="1276" w:type="dxa"/>
          </w:tcPr>
          <w:p w:rsidRPr="00D50326" w:rsidR="00FE73F7" w:rsidP="00D41449" w:rsidRDefault="00FE73F7" w14:paraId="07D0D13C" w14:textId="77777777">
            <w:pPr>
              <w:autoSpaceDE w:val="0"/>
              <w:autoSpaceDN w:val="0"/>
              <w:adjustRightInd w:val="0"/>
              <w:rPr>
                <w:rFonts w:ascii="Arial" w:hAnsi="Arial" w:cs="Arial"/>
              </w:rPr>
            </w:pPr>
            <w:r w:rsidRPr="00D50326">
              <w:rPr>
                <w:rFonts w:ascii="Arial" w:hAnsi="Arial" w:cs="Arial"/>
              </w:rPr>
              <w:t>2.07%</w:t>
            </w:r>
          </w:p>
        </w:tc>
        <w:tc>
          <w:tcPr>
            <w:tcW w:w="1307" w:type="dxa"/>
          </w:tcPr>
          <w:p w:rsidRPr="00D50326" w:rsidR="00FE73F7" w:rsidP="00D41449" w:rsidRDefault="00FE73F7" w14:paraId="70F78E9C" w14:textId="77777777">
            <w:pPr>
              <w:autoSpaceDE w:val="0"/>
              <w:autoSpaceDN w:val="0"/>
              <w:adjustRightInd w:val="0"/>
              <w:rPr>
                <w:rFonts w:ascii="Arial" w:hAnsi="Arial" w:cs="Arial"/>
              </w:rPr>
            </w:pPr>
            <w:r w:rsidRPr="00D50326">
              <w:rPr>
                <w:rFonts w:ascii="Arial" w:hAnsi="Arial" w:cs="Arial"/>
              </w:rPr>
              <w:t>5.57%</w:t>
            </w:r>
          </w:p>
        </w:tc>
        <w:tc>
          <w:tcPr>
            <w:tcW w:w="1103" w:type="dxa"/>
          </w:tcPr>
          <w:p w:rsidRPr="00D50326" w:rsidR="00FE73F7" w:rsidP="00D41449" w:rsidRDefault="00FE73F7" w14:paraId="6426F021" w14:textId="77777777">
            <w:pPr>
              <w:autoSpaceDE w:val="0"/>
              <w:autoSpaceDN w:val="0"/>
              <w:adjustRightInd w:val="0"/>
              <w:rPr>
                <w:rFonts w:ascii="Arial" w:hAnsi="Arial" w:cs="Arial"/>
              </w:rPr>
            </w:pPr>
            <w:r w:rsidRPr="00D50326">
              <w:rPr>
                <w:rFonts w:ascii="Arial" w:hAnsi="Arial" w:cs="Arial"/>
              </w:rPr>
              <w:t>1.71%</w:t>
            </w:r>
          </w:p>
        </w:tc>
      </w:tr>
      <w:tr w:rsidRPr="00D50326" w:rsidR="00D50326" w:rsidTr="007A2718" w14:paraId="5B7056C9" w14:textId="77777777">
        <w:trPr>
          <w:cantSplit/>
          <w:tblHeader/>
        </w:trPr>
        <w:tc>
          <w:tcPr>
            <w:tcW w:w="2830" w:type="dxa"/>
          </w:tcPr>
          <w:p w:rsidRPr="00D50326" w:rsidR="00FE73F7" w:rsidP="00D41449" w:rsidRDefault="00FE73F7" w14:paraId="09116877" w14:textId="77777777">
            <w:pPr>
              <w:autoSpaceDE w:val="0"/>
              <w:autoSpaceDN w:val="0"/>
              <w:adjustRightInd w:val="0"/>
              <w:rPr>
                <w:rFonts w:ascii="Arial" w:hAnsi="Arial" w:cs="Arial"/>
              </w:rPr>
            </w:pPr>
            <w:r w:rsidRPr="00D50326">
              <w:rPr>
                <w:rFonts w:ascii="Arial" w:hAnsi="Arial" w:cs="Arial"/>
              </w:rPr>
              <w:t>Retired</w:t>
            </w:r>
          </w:p>
        </w:tc>
        <w:tc>
          <w:tcPr>
            <w:tcW w:w="1276" w:type="dxa"/>
          </w:tcPr>
          <w:p w:rsidRPr="00D50326" w:rsidR="00FE73F7" w:rsidP="00D41449" w:rsidRDefault="00FE73F7" w14:paraId="7BE1459D" w14:textId="77777777">
            <w:pPr>
              <w:autoSpaceDE w:val="0"/>
              <w:autoSpaceDN w:val="0"/>
              <w:adjustRightInd w:val="0"/>
              <w:rPr>
                <w:rFonts w:ascii="Arial" w:hAnsi="Arial" w:cs="Arial"/>
              </w:rPr>
            </w:pPr>
            <w:r w:rsidRPr="00D50326">
              <w:rPr>
                <w:rFonts w:ascii="Arial" w:hAnsi="Arial" w:cs="Arial"/>
              </w:rPr>
              <w:t>2.79%</w:t>
            </w:r>
          </w:p>
        </w:tc>
        <w:tc>
          <w:tcPr>
            <w:tcW w:w="1276" w:type="dxa"/>
          </w:tcPr>
          <w:p w:rsidRPr="00D50326" w:rsidR="00FE73F7" w:rsidP="00D41449" w:rsidRDefault="00FE73F7" w14:paraId="0C389492" w14:textId="77777777">
            <w:pPr>
              <w:autoSpaceDE w:val="0"/>
              <w:autoSpaceDN w:val="0"/>
              <w:adjustRightInd w:val="0"/>
              <w:rPr>
                <w:rFonts w:ascii="Arial" w:hAnsi="Arial" w:cs="Arial"/>
              </w:rPr>
            </w:pPr>
            <w:r w:rsidRPr="00D50326">
              <w:rPr>
                <w:rFonts w:ascii="Arial" w:hAnsi="Arial" w:cs="Arial"/>
              </w:rPr>
              <w:t>2.07%</w:t>
            </w:r>
          </w:p>
        </w:tc>
        <w:tc>
          <w:tcPr>
            <w:tcW w:w="1307" w:type="dxa"/>
          </w:tcPr>
          <w:p w:rsidRPr="00D50326" w:rsidR="00FE73F7" w:rsidP="00D41449" w:rsidRDefault="00FE73F7" w14:paraId="71A85451" w14:textId="77777777">
            <w:pPr>
              <w:autoSpaceDE w:val="0"/>
              <w:autoSpaceDN w:val="0"/>
              <w:adjustRightInd w:val="0"/>
              <w:rPr>
                <w:rFonts w:ascii="Arial" w:hAnsi="Arial" w:cs="Arial"/>
              </w:rPr>
            </w:pPr>
            <w:r w:rsidRPr="00D50326">
              <w:rPr>
                <w:rFonts w:ascii="Arial" w:hAnsi="Arial" w:cs="Arial"/>
              </w:rPr>
              <w:t>1.68%</w:t>
            </w:r>
          </w:p>
        </w:tc>
        <w:tc>
          <w:tcPr>
            <w:tcW w:w="1103" w:type="dxa"/>
          </w:tcPr>
          <w:p w:rsidRPr="00D50326" w:rsidR="00FE73F7" w:rsidP="00D41449" w:rsidRDefault="00FE73F7" w14:paraId="61B798DE" w14:textId="77777777">
            <w:pPr>
              <w:autoSpaceDE w:val="0"/>
              <w:autoSpaceDN w:val="0"/>
              <w:adjustRightInd w:val="0"/>
              <w:rPr>
                <w:rFonts w:ascii="Arial" w:hAnsi="Arial" w:cs="Arial"/>
              </w:rPr>
            </w:pPr>
            <w:r w:rsidRPr="00D50326">
              <w:rPr>
                <w:rFonts w:ascii="Arial" w:hAnsi="Arial" w:cs="Arial"/>
              </w:rPr>
              <w:t>6.16%</w:t>
            </w:r>
          </w:p>
        </w:tc>
      </w:tr>
      <w:tr w:rsidRPr="00D50326" w:rsidR="00D50326" w:rsidTr="007A2718" w14:paraId="5AA15B46" w14:textId="77777777">
        <w:trPr>
          <w:cantSplit/>
          <w:tblHeader/>
        </w:trPr>
        <w:tc>
          <w:tcPr>
            <w:tcW w:w="2830" w:type="dxa"/>
          </w:tcPr>
          <w:p w:rsidRPr="00D50326" w:rsidR="00FE73F7" w:rsidP="00D41449" w:rsidRDefault="00FE73F7" w14:paraId="7FBE4A90" w14:textId="77777777">
            <w:pPr>
              <w:autoSpaceDE w:val="0"/>
              <w:autoSpaceDN w:val="0"/>
              <w:adjustRightInd w:val="0"/>
              <w:rPr>
                <w:rFonts w:ascii="Arial" w:hAnsi="Arial" w:cs="Arial"/>
              </w:rPr>
            </w:pPr>
            <w:r w:rsidRPr="00D50326">
              <w:rPr>
                <w:rFonts w:ascii="Arial" w:hAnsi="Arial" w:cs="Arial"/>
              </w:rPr>
              <w:t>Student/Training</w:t>
            </w:r>
          </w:p>
        </w:tc>
        <w:tc>
          <w:tcPr>
            <w:tcW w:w="1276" w:type="dxa"/>
          </w:tcPr>
          <w:p w:rsidRPr="00D50326" w:rsidR="00FE73F7" w:rsidP="00D41449" w:rsidRDefault="00FE73F7" w14:paraId="423F6595" w14:textId="77777777">
            <w:pPr>
              <w:autoSpaceDE w:val="0"/>
              <w:autoSpaceDN w:val="0"/>
              <w:adjustRightInd w:val="0"/>
              <w:rPr>
                <w:rFonts w:ascii="Arial" w:hAnsi="Arial" w:cs="Arial"/>
              </w:rPr>
            </w:pPr>
            <w:r w:rsidRPr="00D50326">
              <w:rPr>
                <w:rFonts w:ascii="Arial" w:hAnsi="Arial" w:cs="Arial"/>
              </w:rPr>
              <w:t>1.51%</w:t>
            </w:r>
          </w:p>
        </w:tc>
        <w:tc>
          <w:tcPr>
            <w:tcW w:w="1276" w:type="dxa"/>
          </w:tcPr>
          <w:p w:rsidRPr="00D50326" w:rsidR="00FE73F7" w:rsidP="00D41449" w:rsidRDefault="00FE73F7" w14:paraId="1528D4EE" w14:textId="77777777">
            <w:pPr>
              <w:autoSpaceDE w:val="0"/>
              <w:autoSpaceDN w:val="0"/>
              <w:adjustRightInd w:val="0"/>
              <w:rPr>
                <w:rFonts w:ascii="Arial" w:hAnsi="Arial" w:cs="Arial"/>
              </w:rPr>
            </w:pPr>
            <w:r w:rsidRPr="00D50326">
              <w:rPr>
                <w:rFonts w:ascii="Arial" w:hAnsi="Arial" w:cs="Arial"/>
              </w:rPr>
              <w:t>0.00%</w:t>
            </w:r>
          </w:p>
        </w:tc>
        <w:tc>
          <w:tcPr>
            <w:tcW w:w="1307" w:type="dxa"/>
          </w:tcPr>
          <w:p w:rsidRPr="00D50326" w:rsidR="00FE73F7" w:rsidP="00D41449" w:rsidRDefault="00FE73F7" w14:paraId="5A7D7318" w14:textId="77777777">
            <w:pPr>
              <w:autoSpaceDE w:val="0"/>
              <w:autoSpaceDN w:val="0"/>
              <w:adjustRightInd w:val="0"/>
              <w:rPr>
                <w:rFonts w:ascii="Arial" w:hAnsi="Arial" w:cs="Arial"/>
              </w:rPr>
            </w:pPr>
            <w:r w:rsidRPr="00D50326">
              <w:rPr>
                <w:rFonts w:ascii="Arial" w:hAnsi="Arial" w:cs="Arial"/>
              </w:rPr>
              <w:t>1.53%</w:t>
            </w:r>
          </w:p>
        </w:tc>
        <w:tc>
          <w:tcPr>
            <w:tcW w:w="1103" w:type="dxa"/>
          </w:tcPr>
          <w:p w:rsidRPr="00D50326" w:rsidR="00FE73F7" w:rsidP="00D41449" w:rsidRDefault="00FE73F7" w14:paraId="19B5483F" w14:textId="77777777">
            <w:pPr>
              <w:autoSpaceDE w:val="0"/>
              <w:autoSpaceDN w:val="0"/>
              <w:adjustRightInd w:val="0"/>
              <w:rPr>
                <w:rFonts w:ascii="Arial" w:hAnsi="Arial" w:cs="Arial"/>
              </w:rPr>
            </w:pPr>
            <w:r w:rsidRPr="00D50326">
              <w:rPr>
                <w:rFonts w:ascii="Arial" w:hAnsi="Arial" w:cs="Arial"/>
              </w:rPr>
              <w:t>2.74%</w:t>
            </w:r>
          </w:p>
        </w:tc>
      </w:tr>
      <w:tr w:rsidRPr="00D50326" w:rsidR="00D50326" w:rsidTr="007A2718" w14:paraId="09172BCF" w14:textId="77777777">
        <w:trPr>
          <w:cantSplit/>
          <w:tblHeader/>
        </w:trPr>
        <w:tc>
          <w:tcPr>
            <w:tcW w:w="2830" w:type="dxa"/>
          </w:tcPr>
          <w:p w:rsidRPr="00D50326" w:rsidR="00FE73F7" w:rsidP="00D41449" w:rsidRDefault="00FE73F7" w14:paraId="7B3763B8" w14:textId="77777777">
            <w:pPr>
              <w:autoSpaceDE w:val="0"/>
              <w:autoSpaceDN w:val="0"/>
              <w:adjustRightInd w:val="0"/>
              <w:rPr>
                <w:rFonts w:ascii="Arial" w:hAnsi="Arial" w:cs="Arial"/>
              </w:rPr>
            </w:pPr>
            <w:r w:rsidRPr="00D50326">
              <w:rPr>
                <w:rFonts w:ascii="Arial" w:hAnsi="Arial" w:cs="Arial"/>
              </w:rPr>
              <w:t>Other</w:t>
            </w:r>
          </w:p>
        </w:tc>
        <w:tc>
          <w:tcPr>
            <w:tcW w:w="1276" w:type="dxa"/>
          </w:tcPr>
          <w:p w:rsidRPr="00D50326" w:rsidR="00FE73F7" w:rsidP="00D41449" w:rsidRDefault="00FE73F7" w14:paraId="16F97B23" w14:textId="77777777">
            <w:pPr>
              <w:autoSpaceDE w:val="0"/>
              <w:autoSpaceDN w:val="0"/>
              <w:adjustRightInd w:val="0"/>
              <w:rPr>
                <w:rFonts w:ascii="Arial" w:hAnsi="Arial" w:cs="Arial"/>
              </w:rPr>
            </w:pPr>
            <w:r w:rsidRPr="00D50326">
              <w:rPr>
                <w:rFonts w:ascii="Arial" w:hAnsi="Arial" w:cs="Arial"/>
              </w:rPr>
              <w:t>4.71%</w:t>
            </w:r>
          </w:p>
        </w:tc>
        <w:tc>
          <w:tcPr>
            <w:tcW w:w="1276" w:type="dxa"/>
          </w:tcPr>
          <w:p w:rsidRPr="00D50326" w:rsidR="00FE73F7" w:rsidP="00D41449" w:rsidRDefault="00FE73F7" w14:paraId="7BF5B9C4" w14:textId="77777777">
            <w:pPr>
              <w:autoSpaceDE w:val="0"/>
              <w:autoSpaceDN w:val="0"/>
              <w:adjustRightInd w:val="0"/>
              <w:rPr>
                <w:rFonts w:ascii="Arial" w:hAnsi="Arial" w:cs="Arial"/>
              </w:rPr>
            </w:pPr>
            <w:r w:rsidRPr="00D50326">
              <w:rPr>
                <w:rFonts w:ascii="Arial" w:hAnsi="Arial" w:cs="Arial"/>
              </w:rPr>
              <w:t>3.63%</w:t>
            </w:r>
          </w:p>
        </w:tc>
        <w:tc>
          <w:tcPr>
            <w:tcW w:w="1307" w:type="dxa"/>
          </w:tcPr>
          <w:p w:rsidRPr="00D50326" w:rsidR="00FE73F7" w:rsidP="00D41449" w:rsidRDefault="00FE73F7" w14:paraId="1CE47C0E" w14:textId="77777777">
            <w:pPr>
              <w:autoSpaceDE w:val="0"/>
              <w:autoSpaceDN w:val="0"/>
              <w:adjustRightInd w:val="0"/>
              <w:rPr>
                <w:rFonts w:ascii="Arial" w:hAnsi="Arial" w:cs="Arial"/>
              </w:rPr>
            </w:pPr>
            <w:r w:rsidRPr="00D50326">
              <w:rPr>
                <w:rFonts w:ascii="Arial" w:hAnsi="Arial" w:cs="Arial"/>
              </w:rPr>
              <w:t>7.48%</w:t>
            </w:r>
          </w:p>
        </w:tc>
        <w:tc>
          <w:tcPr>
            <w:tcW w:w="1103" w:type="dxa"/>
          </w:tcPr>
          <w:p w:rsidRPr="00D50326" w:rsidR="00FE73F7" w:rsidP="00D41449" w:rsidRDefault="00FE73F7" w14:paraId="0477F5A3" w14:textId="77777777">
            <w:pPr>
              <w:autoSpaceDE w:val="0"/>
              <w:autoSpaceDN w:val="0"/>
              <w:adjustRightInd w:val="0"/>
              <w:rPr>
                <w:rFonts w:ascii="Arial" w:hAnsi="Arial" w:cs="Arial"/>
              </w:rPr>
            </w:pPr>
            <w:r w:rsidRPr="00D50326">
              <w:rPr>
                <w:rFonts w:ascii="Arial" w:hAnsi="Arial" w:cs="Arial"/>
              </w:rPr>
              <w:t>2.74%</w:t>
            </w:r>
          </w:p>
        </w:tc>
      </w:tr>
      <w:tr w:rsidRPr="00D50326" w:rsidR="00FE73F7" w:rsidTr="007A2718" w14:paraId="4F5B7762" w14:textId="77777777">
        <w:trPr>
          <w:cantSplit/>
          <w:tblHeader/>
        </w:trPr>
        <w:tc>
          <w:tcPr>
            <w:tcW w:w="2830" w:type="dxa"/>
          </w:tcPr>
          <w:p w:rsidRPr="00D50326" w:rsidR="00FE73F7" w:rsidP="00D41449" w:rsidRDefault="00FE73F7" w14:paraId="58F86383" w14:textId="77777777">
            <w:pPr>
              <w:autoSpaceDE w:val="0"/>
              <w:autoSpaceDN w:val="0"/>
              <w:adjustRightInd w:val="0"/>
              <w:rPr>
                <w:rFonts w:ascii="Arial" w:hAnsi="Arial" w:cs="Arial"/>
              </w:rPr>
            </w:pPr>
            <w:r w:rsidRPr="00D50326">
              <w:rPr>
                <w:rFonts w:ascii="Arial" w:hAnsi="Arial" w:cs="Arial"/>
              </w:rPr>
              <w:t>Not known</w:t>
            </w:r>
          </w:p>
        </w:tc>
        <w:tc>
          <w:tcPr>
            <w:tcW w:w="1276" w:type="dxa"/>
          </w:tcPr>
          <w:p w:rsidRPr="00D50326" w:rsidR="00FE73F7" w:rsidP="00D41449" w:rsidRDefault="00FE73F7" w14:paraId="4C0E8516" w14:textId="77777777">
            <w:pPr>
              <w:autoSpaceDE w:val="0"/>
              <w:autoSpaceDN w:val="0"/>
              <w:adjustRightInd w:val="0"/>
              <w:rPr>
                <w:rFonts w:ascii="Arial" w:hAnsi="Arial" w:cs="Arial"/>
              </w:rPr>
            </w:pPr>
            <w:r w:rsidRPr="00D50326">
              <w:rPr>
                <w:rFonts w:ascii="Arial" w:hAnsi="Arial" w:cs="Arial"/>
              </w:rPr>
              <w:t>5.12%</w:t>
            </w:r>
          </w:p>
        </w:tc>
        <w:tc>
          <w:tcPr>
            <w:tcW w:w="1276" w:type="dxa"/>
          </w:tcPr>
          <w:p w:rsidRPr="00D50326" w:rsidR="00FE73F7" w:rsidP="00D41449" w:rsidRDefault="00FE73F7" w14:paraId="6414776E" w14:textId="77777777">
            <w:pPr>
              <w:autoSpaceDE w:val="0"/>
              <w:autoSpaceDN w:val="0"/>
              <w:adjustRightInd w:val="0"/>
              <w:rPr>
                <w:rFonts w:ascii="Arial" w:hAnsi="Arial" w:cs="Arial"/>
              </w:rPr>
            </w:pPr>
            <w:r w:rsidRPr="00D50326">
              <w:rPr>
                <w:rFonts w:ascii="Arial" w:hAnsi="Arial" w:cs="Arial"/>
              </w:rPr>
              <w:t>4.66%</w:t>
            </w:r>
          </w:p>
        </w:tc>
        <w:tc>
          <w:tcPr>
            <w:tcW w:w="1307" w:type="dxa"/>
          </w:tcPr>
          <w:p w:rsidRPr="00D50326" w:rsidR="00FE73F7" w:rsidP="00D41449" w:rsidRDefault="00FE73F7" w14:paraId="00369A05" w14:textId="77777777">
            <w:pPr>
              <w:autoSpaceDE w:val="0"/>
              <w:autoSpaceDN w:val="0"/>
              <w:adjustRightInd w:val="0"/>
              <w:rPr>
                <w:rFonts w:ascii="Arial" w:hAnsi="Arial" w:cs="Arial"/>
              </w:rPr>
            </w:pPr>
            <w:r w:rsidRPr="00D50326">
              <w:rPr>
                <w:rFonts w:ascii="Arial" w:hAnsi="Arial" w:cs="Arial"/>
              </w:rPr>
              <w:t>4.58</w:t>
            </w:r>
            <w:r w:rsidRPr="00D50326" w:rsidR="009D7566">
              <w:rPr>
                <w:rFonts w:ascii="Arial" w:hAnsi="Arial" w:cs="Arial"/>
              </w:rPr>
              <w:t>%</w:t>
            </w:r>
          </w:p>
        </w:tc>
        <w:tc>
          <w:tcPr>
            <w:tcW w:w="1103" w:type="dxa"/>
          </w:tcPr>
          <w:p w:rsidRPr="00D50326" w:rsidR="00FE73F7" w:rsidP="00D41449" w:rsidRDefault="009D7566" w14:paraId="49BF6A3D" w14:textId="77777777">
            <w:pPr>
              <w:autoSpaceDE w:val="0"/>
              <w:autoSpaceDN w:val="0"/>
              <w:adjustRightInd w:val="0"/>
              <w:rPr>
                <w:rFonts w:ascii="Arial" w:hAnsi="Arial" w:cs="Arial"/>
              </w:rPr>
            </w:pPr>
            <w:r w:rsidRPr="00D50326">
              <w:rPr>
                <w:rFonts w:ascii="Arial" w:hAnsi="Arial" w:cs="Arial"/>
              </w:rPr>
              <w:t>2.05%</w:t>
            </w:r>
          </w:p>
        </w:tc>
      </w:tr>
    </w:tbl>
    <w:p w:rsidRPr="00DD6487" w:rsidR="00DD6487" w:rsidP="00DD6487" w:rsidRDefault="00DD6487" w14:paraId="02FFCEEF" w14:textId="77777777">
      <w:pPr>
        <w:autoSpaceDE w:val="0"/>
        <w:autoSpaceDN w:val="0"/>
        <w:adjustRightInd w:val="0"/>
        <w:rPr>
          <w:rFonts w:ascii="Arial" w:hAnsi="Arial" w:cs="Arial"/>
          <w:sz w:val="16"/>
          <w:szCs w:val="16"/>
        </w:rPr>
      </w:pPr>
      <w:r w:rsidRPr="00DD6487">
        <w:rPr>
          <w:rFonts w:ascii="Arial" w:hAnsi="Arial" w:cs="Arial"/>
          <w:sz w:val="16"/>
          <w:szCs w:val="16"/>
        </w:rPr>
        <w:t>Table 11</w:t>
      </w:r>
    </w:p>
    <w:p w:rsidRPr="00D50326" w:rsidR="00B6715A" w:rsidP="00D41449" w:rsidRDefault="00B6715A" w14:paraId="2AB2629E" w14:textId="77777777">
      <w:pPr>
        <w:autoSpaceDE w:val="0"/>
        <w:autoSpaceDN w:val="0"/>
        <w:adjustRightInd w:val="0"/>
        <w:rPr>
          <w:rFonts w:ascii="Arial" w:hAnsi="Arial" w:cs="Arial"/>
        </w:rPr>
      </w:pPr>
    </w:p>
    <w:p w:rsidRPr="00D50326" w:rsidR="00E63FBB" w:rsidP="009D7566" w:rsidRDefault="0070172F" w14:paraId="187E1F4B" w14:textId="77777777">
      <w:pPr>
        <w:autoSpaceDE w:val="0"/>
        <w:autoSpaceDN w:val="0"/>
        <w:adjustRightInd w:val="0"/>
        <w:rPr>
          <w:rFonts w:ascii="Arial" w:hAnsi="Arial" w:cs="Arial"/>
        </w:rPr>
      </w:pPr>
      <w:r w:rsidRPr="00D50326">
        <w:rPr>
          <w:rFonts w:ascii="Arial" w:hAnsi="Arial" w:cs="Arial"/>
        </w:rPr>
        <w:t>The employment status of someone who is homeless can h</w:t>
      </w:r>
      <w:r w:rsidRPr="00D50326" w:rsidR="00100BAD">
        <w:rPr>
          <w:rFonts w:ascii="Arial" w:hAnsi="Arial" w:cs="Arial"/>
        </w:rPr>
        <w:t>ave significant consequences for their ability to afford a home. In addition, it is imperative that when people approach us for help that they can continue to stay in employment whilst they receive help to resolve their homelessness. Both Broadland and South Norfolk record lower levels of people asking for help who are unemployed compared to the East. Norwich saw nearly 6% more people who were unemployed compared to the Eastern region average.</w:t>
      </w:r>
      <w:r w:rsidR="009A4C77">
        <w:rPr>
          <w:rFonts w:ascii="Arial" w:hAnsi="Arial" w:cs="Arial"/>
        </w:rPr>
        <w:t xml:space="preserve"> </w:t>
      </w:r>
      <w:r w:rsidR="009A4C77">
        <w:rPr>
          <w:rFonts w:ascii="Arial" w:hAnsi="Arial" w:cs="Arial"/>
        </w:rPr>
        <w:lastRenderedPageBreak/>
        <w:t>Around 47</w:t>
      </w:r>
      <w:r w:rsidRPr="00D50326" w:rsidR="007C6DF4">
        <w:rPr>
          <w:rFonts w:ascii="Arial" w:hAnsi="Arial" w:cs="Arial"/>
        </w:rPr>
        <w:t>% of people who came in to Broadland were in some form of employment compared to 29</w:t>
      </w:r>
      <w:r w:rsidR="009A4C77">
        <w:rPr>
          <w:rFonts w:ascii="Arial" w:hAnsi="Arial" w:cs="Arial"/>
        </w:rPr>
        <w:t>%</w:t>
      </w:r>
      <w:r w:rsidRPr="00D50326" w:rsidR="007C6DF4">
        <w:rPr>
          <w:rFonts w:ascii="Arial" w:hAnsi="Arial" w:cs="Arial"/>
        </w:rPr>
        <w:t xml:space="preserve"> and 30% in Norwich</w:t>
      </w:r>
      <w:r w:rsidRPr="00D50326" w:rsidR="00C1655F">
        <w:rPr>
          <w:rFonts w:ascii="Arial" w:hAnsi="Arial" w:cs="Arial"/>
        </w:rPr>
        <w:t xml:space="preserve"> and South Norfolk</w:t>
      </w:r>
      <w:r w:rsidRPr="00D50326" w:rsidR="007C6DF4">
        <w:rPr>
          <w:rFonts w:ascii="Arial" w:hAnsi="Arial" w:cs="Arial"/>
        </w:rPr>
        <w:t xml:space="preserve"> (similar levels to the East). Both Broadland and South Norfolk recorded higher percentages of people who were not working due to </w:t>
      </w:r>
      <w:r w:rsidRPr="00D50326" w:rsidR="00C1655F">
        <w:rPr>
          <w:rFonts w:ascii="Arial" w:hAnsi="Arial" w:cs="Arial"/>
        </w:rPr>
        <w:t>long-term</w:t>
      </w:r>
      <w:r w:rsidRPr="00D50326" w:rsidR="007C6DF4">
        <w:rPr>
          <w:rFonts w:ascii="Arial" w:hAnsi="Arial" w:cs="Arial"/>
        </w:rPr>
        <w:t xml:space="preserve"> illness/disability. Whilst recorded levels of people not working due to a </w:t>
      </w:r>
      <w:r w:rsidRPr="00D50326" w:rsidR="00F16CE0">
        <w:rPr>
          <w:rFonts w:ascii="Arial" w:hAnsi="Arial" w:cs="Arial"/>
        </w:rPr>
        <w:t>long-term</w:t>
      </w:r>
      <w:r w:rsidRPr="00D50326" w:rsidR="00C1655F">
        <w:rPr>
          <w:rFonts w:ascii="Arial" w:hAnsi="Arial" w:cs="Arial"/>
        </w:rPr>
        <w:t xml:space="preserve"> illness are high as a percentage of the working age population (26.4%) in Norwich we saw similar levels to the Eastern region.</w:t>
      </w:r>
    </w:p>
    <w:p w:rsidRPr="00D50326" w:rsidR="00F16CE0" w:rsidP="009D7566" w:rsidRDefault="00F16CE0" w14:paraId="39834D33" w14:textId="77777777">
      <w:pPr>
        <w:autoSpaceDE w:val="0"/>
        <w:autoSpaceDN w:val="0"/>
        <w:adjustRightInd w:val="0"/>
        <w:rPr>
          <w:rFonts w:ascii="Arial" w:hAnsi="Arial" w:cs="Arial"/>
        </w:rPr>
      </w:pPr>
    </w:p>
    <w:p w:rsidRPr="005E7A29" w:rsidR="00283FEE" w:rsidP="00BC168A" w:rsidRDefault="00283FEE" w14:paraId="7D3565E8" w14:textId="77777777">
      <w:pPr>
        <w:pStyle w:val="GNHS2"/>
        <w:numPr>
          <w:ilvl w:val="0"/>
          <w:numId w:val="37"/>
        </w:numPr>
      </w:pPr>
      <w:r w:rsidRPr="005E7A29">
        <w:t>Development of the Strategy</w:t>
      </w:r>
    </w:p>
    <w:p w:rsidRPr="00D50326" w:rsidR="00283FEE" w:rsidP="00283FEE" w:rsidRDefault="00283FEE" w14:paraId="049360F5" w14:textId="77777777">
      <w:pPr>
        <w:autoSpaceDE w:val="0"/>
        <w:autoSpaceDN w:val="0"/>
        <w:adjustRightInd w:val="0"/>
        <w:rPr>
          <w:rFonts w:ascii="Arial" w:hAnsi="Arial" w:cs="Arial"/>
          <w:b/>
        </w:rPr>
      </w:pPr>
    </w:p>
    <w:p w:rsidRPr="00D50326" w:rsidR="00283FEE" w:rsidP="00283FEE" w:rsidRDefault="00283FEE" w14:paraId="24FB4B3B" w14:textId="77777777">
      <w:pPr>
        <w:autoSpaceDE w:val="0"/>
        <w:autoSpaceDN w:val="0"/>
        <w:adjustRightInd w:val="0"/>
        <w:rPr>
          <w:rFonts w:ascii="Arial" w:hAnsi="Arial" w:cs="Arial"/>
        </w:rPr>
      </w:pPr>
      <w:r w:rsidRPr="00D50326">
        <w:rPr>
          <w:rFonts w:ascii="Arial" w:hAnsi="Arial" w:cs="Arial"/>
        </w:rPr>
        <w:t>This is the fourth Greater Norwich Homelessness Strategy that has been produced since 2007.  Although led by a small working group comprising a partner lead and the three local housing authorities the process has been co-produced by representatives from the 30 or so different organisations that actively participate in and contribute to the Greater Norwich Homelessness Forum (GNHF).</w:t>
      </w:r>
    </w:p>
    <w:p w:rsidRPr="00D50326" w:rsidR="00283FEE" w:rsidP="00283FEE" w:rsidRDefault="00283FEE" w14:paraId="5781E110" w14:textId="77777777">
      <w:pPr>
        <w:autoSpaceDE w:val="0"/>
        <w:autoSpaceDN w:val="0"/>
        <w:adjustRightInd w:val="0"/>
        <w:rPr>
          <w:rFonts w:ascii="Arial" w:hAnsi="Arial" w:cs="Arial"/>
        </w:rPr>
      </w:pPr>
    </w:p>
    <w:p w:rsidRPr="00D50326" w:rsidR="00283FEE" w:rsidP="00283FEE" w:rsidRDefault="00283FEE" w14:paraId="2CA3F95B" w14:textId="77777777">
      <w:pPr>
        <w:autoSpaceDE w:val="0"/>
        <w:autoSpaceDN w:val="0"/>
        <w:adjustRightInd w:val="0"/>
        <w:rPr>
          <w:rFonts w:ascii="Arial" w:hAnsi="Arial" w:cs="Arial"/>
        </w:rPr>
      </w:pPr>
      <w:r w:rsidRPr="00D50326">
        <w:rPr>
          <w:rFonts w:ascii="Arial" w:hAnsi="Arial" w:cs="Arial"/>
        </w:rPr>
        <w:t>The</w:t>
      </w:r>
      <w:r w:rsidR="00BC3210">
        <w:rPr>
          <w:rFonts w:ascii="Arial" w:hAnsi="Arial" w:cs="Arial"/>
        </w:rPr>
        <w:t xml:space="preserve"> </w:t>
      </w:r>
      <w:r w:rsidRPr="00D50326">
        <w:rPr>
          <w:rFonts w:ascii="Arial" w:hAnsi="Arial" w:cs="Arial"/>
        </w:rPr>
        <w:t>Strategy you see before you today has been created over an 18 month period and has been influenced by</w:t>
      </w:r>
    </w:p>
    <w:p w:rsidRPr="00D50326" w:rsidR="00283FEE" w:rsidP="00283FEE" w:rsidRDefault="00283FEE" w14:paraId="29A1EA08" w14:textId="77777777">
      <w:pPr>
        <w:autoSpaceDE w:val="0"/>
        <w:autoSpaceDN w:val="0"/>
        <w:adjustRightInd w:val="0"/>
        <w:rPr>
          <w:rFonts w:ascii="Arial" w:hAnsi="Arial" w:cs="Arial"/>
        </w:rPr>
      </w:pPr>
    </w:p>
    <w:p w:rsidRPr="009A4C77" w:rsidR="00283FEE" w:rsidP="00616716" w:rsidRDefault="009A4C77" w14:paraId="439C03CE" w14:textId="77777777">
      <w:pPr>
        <w:pStyle w:val="ListParagraph"/>
        <w:numPr>
          <w:ilvl w:val="0"/>
          <w:numId w:val="16"/>
        </w:numPr>
        <w:autoSpaceDE w:val="0"/>
        <w:autoSpaceDN w:val="0"/>
        <w:adjustRightInd w:val="0"/>
        <w:rPr>
          <w:rFonts w:ascii="Arial" w:hAnsi="Arial" w:cs="Arial"/>
        </w:rPr>
      </w:pPr>
      <w:r w:rsidRPr="009A4C77">
        <w:rPr>
          <w:rFonts w:ascii="Arial" w:hAnsi="Arial" w:cs="Arial"/>
        </w:rPr>
        <w:t>T</w:t>
      </w:r>
      <w:r w:rsidRPr="009A4C77" w:rsidR="00283FEE">
        <w:rPr>
          <w:rFonts w:ascii="Arial" w:hAnsi="Arial" w:cs="Arial"/>
        </w:rPr>
        <w:t>he results of the Greater Norwich Homelessness Review 2018/19</w:t>
      </w:r>
      <w:r w:rsidRPr="009A4C77">
        <w:rPr>
          <w:rFonts w:ascii="Arial" w:hAnsi="Arial" w:cs="Arial"/>
        </w:rPr>
        <w:t xml:space="preserve"> with </w:t>
      </w:r>
      <w:r w:rsidRPr="009A4C77" w:rsidR="00283FEE">
        <w:rPr>
          <w:rFonts w:ascii="Arial" w:hAnsi="Arial" w:cs="Arial"/>
        </w:rPr>
        <w:t xml:space="preserve">partners in the GNHF </w:t>
      </w:r>
    </w:p>
    <w:p w:rsidRPr="009A4C77" w:rsidR="00283FEE" w:rsidP="00616716" w:rsidRDefault="009A4C77" w14:paraId="534AD9F0" w14:textId="77777777">
      <w:pPr>
        <w:pStyle w:val="ListParagraph"/>
        <w:numPr>
          <w:ilvl w:val="0"/>
          <w:numId w:val="16"/>
        </w:numPr>
        <w:autoSpaceDE w:val="0"/>
        <w:autoSpaceDN w:val="0"/>
        <w:adjustRightInd w:val="0"/>
        <w:rPr>
          <w:rFonts w:ascii="Arial" w:hAnsi="Arial" w:cs="Arial"/>
        </w:rPr>
      </w:pPr>
      <w:r w:rsidRPr="009A4C77">
        <w:rPr>
          <w:rFonts w:ascii="Arial" w:hAnsi="Arial" w:cs="Arial"/>
        </w:rPr>
        <w:t>F</w:t>
      </w:r>
      <w:r w:rsidRPr="009A4C77" w:rsidR="00283FEE">
        <w:rPr>
          <w:rFonts w:ascii="Arial" w:hAnsi="Arial" w:cs="Arial"/>
        </w:rPr>
        <w:t>eedback from a series of stakeholder workshops held in 2019</w:t>
      </w:r>
    </w:p>
    <w:p w:rsidRPr="009A4C77" w:rsidR="00283FEE" w:rsidP="00616716" w:rsidRDefault="009A4C77" w14:paraId="7997BFCC" w14:textId="77777777">
      <w:pPr>
        <w:pStyle w:val="ListParagraph"/>
        <w:numPr>
          <w:ilvl w:val="0"/>
          <w:numId w:val="16"/>
        </w:numPr>
        <w:autoSpaceDE w:val="0"/>
        <w:autoSpaceDN w:val="0"/>
        <w:adjustRightInd w:val="0"/>
        <w:rPr>
          <w:rFonts w:ascii="Arial" w:hAnsi="Arial" w:cs="Arial"/>
        </w:rPr>
      </w:pPr>
      <w:r w:rsidRPr="009A4C77">
        <w:rPr>
          <w:rFonts w:ascii="Arial" w:hAnsi="Arial" w:cs="Arial"/>
        </w:rPr>
        <w:t>N</w:t>
      </w:r>
      <w:r w:rsidR="00493DD6">
        <w:rPr>
          <w:rFonts w:ascii="Arial" w:hAnsi="Arial" w:cs="Arial"/>
        </w:rPr>
        <w:t>ational and Local P</w:t>
      </w:r>
      <w:r w:rsidRPr="009A4C77" w:rsidR="00283FEE">
        <w:rPr>
          <w:rFonts w:ascii="Arial" w:hAnsi="Arial" w:cs="Arial"/>
        </w:rPr>
        <w:t>olicy</w:t>
      </w:r>
    </w:p>
    <w:p w:rsidRPr="00D50326" w:rsidR="00283FEE" w:rsidP="00283FEE" w:rsidRDefault="00283FEE" w14:paraId="4DA5FFBA" w14:textId="77777777">
      <w:pPr>
        <w:autoSpaceDE w:val="0"/>
        <w:autoSpaceDN w:val="0"/>
        <w:adjustRightInd w:val="0"/>
        <w:rPr>
          <w:rFonts w:ascii="Arial" w:hAnsi="Arial" w:cs="Arial"/>
        </w:rPr>
      </w:pPr>
    </w:p>
    <w:p w:rsidRPr="00D50326" w:rsidR="00283FEE" w:rsidP="00283FEE" w:rsidRDefault="00B7194B" w14:paraId="74505DE8" w14:textId="77777777">
      <w:pPr>
        <w:autoSpaceDE w:val="0"/>
        <w:autoSpaceDN w:val="0"/>
        <w:adjustRightInd w:val="0"/>
        <w:rPr>
          <w:rFonts w:ascii="Arial" w:hAnsi="Arial" w:cs="Arial"/>
        </w:rPr>
      </w:pPr>
      <w:r>
        <w:rPr>
          <w:rFonts w:ascii="Arial" w:hAnsi="Arial" w:cs="Arial"/>
        </w:rPr>
        <w:t>This Strategy will</w:t>
      </w:r>
      <w:r w:rsidRPr="00D50326" w:rsidR="00283FEE">
        <w:rPr>
          <w:rFonts w:ascii="Arial" w:hAnsi="Arial" w:cs="Arial"/>
        </w:rPr>
        <w:t xml:space="preserve"> take a more holistic look at homelessness, considering the wider impacts that being without a home can have on an individual whilst recognising that these often come at a high cost – to the individual, the wider community and to the services which seek to minimise the effects of being homeless. </w:t>
      </w:r>
    </w:p>
    <w:p w:rsidRPr="00D50326" w:rsidR="00283FEE" w:rsidP="00283FEE" w:rsidRDefault="00283FEE" w14:paraId="4A2F773B" w14:textId="77777777">
      <w:pPr>
        <w:autoSpaceDE w:val="0"/>
        <w:autoSpaceDN w:val="0"/>
        <w:adjustRightInd w:val="0"/>
        <w:rPr>
          <w:rFonts w:ascii="Arial" w:hAnsi="Arial" w:cs="Arial"/>
        </w:rPr>
      </w:pPr>
    </w:p>
    <w:p w:rsidRPr="00D50326" w:rsidR="00283FEE" w:rsidP="00283FEE" w:rsidRDefault="00283FEE" w14:paraId="19FDE648" w14:textId="77777777">
      <w:pPr>
        <w:autoSpaceDE w:val="0"/>
        <w:autoSpaceDN w:val="0"/>
        <w:adjustRightInd w:val="0"/>
        <w:rPr>
          <w:rFonts w:ascii="Arial" w:hAnsi="Arial" w:cs="Arial"/>
        </w:rPr>
      </w:pPr>
      <w:r w:rsidRPr="00D50326">
        <w:rPr>
          <w:rFonts w:ascii="Arial" w:hAnsi="Arial" w:cs="Arial"/>
        </w:rPr>
        <w:t>Ultimately it is our aim to reduce the chances of homelessness occurring in the first place and for this reason prevention is at the heart of this strategy. By using early help approaches we will prevent people from becoming homeless in the first place and where this is not possible we will strive to reduce the likelihood that individuals will suffer long term effects of being homeless.</w:t>
      </w:r>
    </w:p>
    <w:p w:rsidR="00B064B2" w:rsidP="00007A21" w:rsidRDefault="00B064B2" w14:paraId="3C781573" w14:textId="77777777">
      <w:pPr>
        <w:rPr>
          <w:rFonts w:ascii="Arial" w:hAnsi="Arial" w:cs="Arial"/>
        </w:rPr>
      </w:pPr>
    </w:p>
    <w:p w:rsidRPr="00007A21" w:rsidR="00FC6D42" w:rsidP="00007A21" w:rsidRDefault="00FC6D42" w14:paraId="65DBA694" w14:textId="77777777">
      <w:pPr>
        <w:rPr>
          <w:rFonts w:ascii="Arial" w:hAnsi="Arial" w:cs="Arial"/>
        </w:rPr>
      </w:pPr>
    </w:p>
    <w:p w:rsidRPr="005D420B" w:rsidR="00B064B2" w:rsidP="00812022" w:rsidRDefault="004E08F9" w14:paraId="369278BF" w14:textId="77777777">
      <w:pPr>
        <w:pStyle w:val="GNHS2"/>
        <w:numPr>
          <w:ilvl w:val="0"/>
          <w:numId w:val="37"/>
        </w:numPr>
      </w:pPr>
      <w:r w:rsidRPr="005D420B">
        <w:t>Where do we want to be? Our V</w:t>
      </w:r>
      <w:r w:rsidRPr="005D420B" w:rsidR="00B064B2">
        <w:t>ision</w:t>
      </w:r>
    </w:p>
    <w:p w:rsidR="00372D4D" w:rsidP="00372D4D" w:rsidRDefault="00372D4D" w14:paraId="2C2F1054" w14:textId="77777777">
      <w:pPr>
        <w:pStyle w:val="ListParagraph"/>
      </w:pPr>
    </w:p>
    <w:p w:rsidRPr="00372D4D" w:rsidR="00372D4D" w:rsidP="00372D4D" w:rsidRDefault="00372D4D" w14:paraId="2492314C" w14:textId="77777777">
      <w:pPr>
        <w:rPr>
          <w:rFonts w:ascii="Arial" w:hAnsi="Arial" w:cs="Arial"/>
        </w:rPr>
      </w:pPr>
      <w:r w:rsidRPr="00621024">
        <w:rPr>
          <w:rFonts w:ascii="Arial" w:hAnsi="Arial" w:cs="Arial"/>
        </w:rPr>
        <w:t xml:space="preserve">“Greater Norwich is a place where agencies work together to support people who are, or may become homeless. </w:t>
      </w:r>
      <w:r w:rsidRPr="00621024" w:rsidR="00257B26">
        <w:rPr>
          <w:rFonts w:ascii="Arial" w:hAnsi="Arial" w:cs="Arial"/>
        </w:rPr>
        <w:t>By putting people at the heart of our servic</w:t>
      </w:r>
      <w:r w:rsidR="00836BE7">
        <w:rPr>
          <w:rFonts w:ascii="Arial" w:hAnsi="Arial" w:cs="Arial"/>
        </w:rPr>
        <w:t>e delivery we can create a wrap-</w:t>
      </w:r>
      <w:r w:rsidRPr="00621024" w:rsidR="00257B26">
        <w:rPr>
          <w:rFonts w:ascii="Arial" w:hAnsi="Arial" w:cs="Arial"/>
        </w:rPr>
        <w:t>around offer that helps</w:t>
      </w:r>
      <w:r w:rsidRPr="00621024">
        <w:rPr>
          <w:rFonts w:ascii="Arial" w:hAnsi="Arial" w:cs="Arial"/>
        </w:rPr>
        <w:t xml:space="preserve"> people to take control of their own circumstances earlier</w:t>
      </w:r>
      <w:r w:rsidRPr="00621024" w:rsidR="00257B26">
        <w:rPr>
          <w:rFonts w:ascii="Arial" w:hAnsi="Arial" w:cs="Arial"/>
        </w:rPr>
        <w:t>,</w:t>
      </w:r>
      <w:r w:rsidRPr="00621024">
        <w:rPr>
          <w:rFonts w:ascii="Arial" w:hAnsi="Arial" w:cs="Arial"/>
        </w:rPr>
        <w:t xml:space="preserve"> and stopping them from becoming homeless will be our main aim. This will provide people with a firm platform where their health and wellbeing, employment or training opportunities are either maintained or improved.”</w:t>
      </w:r>
    </w:p>
    <w:p w:rsidRPr="00372D4D" w:rsidR="00372D4D" w:rsidP="00372D4D" w:rsidRDefault="00372D4D" w14:paraId="1779EEBA" w14:textId="77777777">
      <w:pPr>
        <w:rPr>
          <w:rFonts w:ascii="Arial" w:hAnsi="Arial" w:cs="Arial"/>
        </w:rPr>
      </w:pPr>
    </w:p>
    <w:p w:rsidR="00B064B2" w:rsidP="00372D4D" w:rsidRDefault="00E161CD" w14:paraId="3BC81F4D" w14:textId="77777777">
      <w:pPr>
        <w:rPr>
          <w:rFonts w:ascii="Arial" w:hAnsi="Arial" w:cs="Arial"/>
        </w:rPr>
      </w:pPr>
      <w:r>
        <w:rPr>
          <w:rFonts w:ascii="Arial" w:hAnsi="Arial" w:cs="Arial"/>
        </w:rPr>
        <w:t>We will look to achieve this vision by committing to the following four priorities:</w:t>
      </w:r>
    </w:p>
    <w:p w:rsidRPr="002D6CB6" w:rsidR="002D6CB6" w:rsidP="002D6CB6" w:rsidRDefault="002D6CB6" w14:paraId="07659CA0" w14:textId="77777777">
      <w:pPr>
        <w:rPr>
          <w:rFonts w:ascii="Arial" w:hAnsi="Arial" w:cs="Arial"/>
        </w:rPr>
      </w:pPr>
      <w:r w:rsidRPr="002D6CB6">
        <w:rPr>
          <w:rFonts w:ascii="Arial" w:hAnsi="Arial" w:cs="Arial"/>
        </w:rPr>
        <w:t>1.</w:t>
      </w:r>
      <w:r w:rsidRPr="002D6CB6">
        <w:rPr>
          <w:rFonts w:ascii="Arial" w:hAnsi="Arial" w:cs="Arial"/>
        </w:rPr>
        <w:tab/>
        <w:t>Domestic Abuse</w:t>
      </w:r>
    </w:p>
    <w:p w:rsidRPr="002D6CB6" w:rsidR="002D6CB6" w:rsidP="002D6CB6" w:rsidRDefault="002D6CB6" w14:paraId="60365CD2" w14:textId="77777777">
      <w:pPr>
        <w:rPr>
          <w:rFonts w:ascii="Arial" w:hAnsi="Arial" w:cs="Arial"/>
        </w:rPr>
      </w:pPr>
      <w:r w:rsidRPr="002D6CB6">
        <w:rPr>
          <w:rFonts w:ascii="Arial" w:hAnsi="Arial" w:cs="Arial"/>
        </w:rPr>
        <w:lastRenderedPageBreak/>
        <w:t>2.</w:t>
      </w:r>
      <w:r w:rsidRPr="002D6CB6">
        <w:rPr>
          <w:rFonts w:ascii="Arial" w:hAnsi="Arial" w:cs="Arial"/>
        </w:rPr>
        <w:tab/>
        <w:t>Preventing Homelessness</w:t>
      </w:r>
    </w:p>
    <w:p w:rsidRPr="002D6CB6" w:rsidR="002D6CB6" w:rsidP="002D6CB6" w:rsidRDefault="002D6CB6" w14:paraId="2093D50F" w14:textId="77777777">
      <w:pPr>
        <w:rPr>
          <w:rFonts w:ascii="Arial" w:hAnsi="Arial" w:cs="Arial"/>
        </w:rPr>
      </w:pPr>
      <w:r w:rsidRPr="002D6CB6">
        <w:rPr>
          <w:rFonts w:ascii="Arial" w:hAnsi="Arial" w:cs="Arial"/>
        </w:rPr>
        <w:t>3.</w:t>
      </w:r>
      <w:r w:rsidRPr="002D6CB6">
        <w:rPr>
          <w:rFonts w:ascii="Arial" w:hAnsi="Arial" w:cs="Arial"/>
        </w:rPr>
        <w:tab/>
        <w:t>Single and Youth Homelessness</w:t>
      </w:r>
    </w:p>
    <w:p w:rsidRPr="002D6CB6" w:rsidR="002D6CB6" w:rsidP="002D6CB6" w:rsidRDefault="002D6CB6" w14:paraId="62616216" w14:textId="77777777">
      <w:pPr>
        <w:rPr>
          <w:rFonts w:ascii="Arial" w:hAnsi="Arial" w:cs="Arial"/>
        </w:rPr>
      </w:pPr>
      <w:r w:rsidRPr="002D6CB6">
        <w:rPr>
          <w:rFonts w:ascii="Arial" w:hAnsi="Arial" w:cs="Arial"/>
        </w:rPr>
        <w:t>4.</w:t>
      </w:r>
      <w:r w:rsidRPr="002D6CB6">
        <w:rPr>
          <w:rFonts w:ascii="Arial" w:hAnsi="Arial" w:cs="Arial"/>
        </w:rPr>
        <w:tab/>
        <w:t>Financial Inclusion, Welfare Reform and Economic Growth</w:t>
      </w:r>
    </w:p>
    <w:p w:rsidRPr="002D6CB6" w:rsidR="00B064B2" w:rsidP="002D6CB6" w:rsidRDefault="00B064B2" w14:paraId="4CFCC454" w14:textId="77777777">
      <w:pPr>
        <w:rPr>
          <w:rFonts w:ascii="Arial" w:hAnsi="Arial" w:cs="Arial"/>
        </w:rPr>
      </w:pPr>
    </w:p>
    <w:p w:rsidRPr="00FF463B" w:rsidR="00B064B2" w:rsidP="001C42BE" w:rsidRDefault="00B064B2" w14:paraId="1804984B" w14:textId="77777777">
      <w:pPr>
        <w:pStyle w:val="GNHS2"/>
        <w:numPr>
          <w:ilvl w:val="0"/>
          <w:numId w:val="37"/>
        </w:numPr>
      </w:pPr>
      <w:r w:rsidRPr="00FF463B">
        <w:t>How will we get there?</w:t>
      </w:r>
    </w:p>
    <w:p w:rsidR="00B064B2" w:rsidP="00B064B2" w:rsidRDefault="00B064B2" w14:paraId="03533D8E" w14:textId="77777777">
      <w:pPr>
        <w:pStyle w:val="ListParagraph"/>
        <w:rPr>
          <w:rFonts w:ascii="Arial" w:hAnsi="Arial" w:cs="Arial"/>
        </w:rPr>
      </w:pPr>
    </w:p>
    <w:p w:rsidRPr="00D50326" w:rsidR="002000E7" w:rsidP="00223016" w:rsidRDefault="00007A21" w14:paraId="2B6D2EEE" w14:textId="77777777">
      <w:pPr>
        <w:pStyle w:val="GNHS3"/>
        <w:ind w:left="720" w:hanging="720"/>
      </w:pPr>
      <w:r w:rsidRPr="00E36145">
        <w:t>6</w:t>
      </w:r>
      <w:r w:rsidRPr="00E36145" w:rsidR="007C7840">
        <w:t xml:space="preserve">.1 </w:t>
      </w:r>
      <w:r w:rsidRPr="00E36145" w:rsidR="00E36145">
        <w:tab/>
      </w:r>
      <w:r w:rsidRPr="00E36145" w:rsidR="002000E7">
        <w:t xml:space="preserve">Priority one: </w:t>
      </w:r>
      <w:r w:rsidRPr="00E36145" w:rsidR="004E08F9">
        <w:t>Develop and Deliver Flexible Housing and Support Solutions to Enable People to Safely M</w:t>
      </w:r>
      <w:r w:rsidRPr="00E36145" w:rsidR="00F34391">
        <w:t>ove on from Domestic Abuse</w:t>
      </w:r>
      <w:r w:rsidRPr="00D50326" w:rsidR="00F34391">
        <w:t xml:space="preserve"> </w:t>
      </w:r>
    </w:p>
    <w:p w:rsidRPr="00D50326" w:rsidR="002000E7" w:rsidP="002000E7" w:rsidRDefault="002000E7" w14:paraId="16AE18BD" w14:textId="77777777">
      <w:pPr>
        <w:pStyle w:val="ListParagraph"/>
        <w:ind w:left="1125"/>
        <w:rPr>
          <w:rFonts w:ascii="Arial" w:hAnsi="Arial" w:cs="Arial"/>
        </w:rPr>
      </w:pPr>
    </w:p>
    <w:p w:rsidRPr="009072C5" w:rsidR="009072C5" w:rsidP="00223016" w:rsidRDefault="00007A21" w14:paraId="2FF7BE96" w14:textId="77777777">
      <w:pPr>
        <w:pStyle w:val="GNHS3"/>
      </w:pPr>
      <w:r>
        <w:t>6</w:t>
      </w:r>
      <w:r w:rsidRPr="009072C5" w:rsidR="009072C5">
        <w:t>.11</w:t>
      </w:r>
      <w:r w:rsidRPr="009072C5" w:rsidR="009072C5">
        <w:tab/>
        <w:t>Local and National Picture</w:t>
      </w:r>
    </w:p>
    <w:p w:rsidR="009072C5" w:rsidP="00341702" w:rsidRDefault="009072C5" w14:paraId="4E57559C" w14:textId="77777777">
      <w:pPr>
        <w:pStyle w:val="ListParagraph"/>
        <w:ind w:left="0"/>
        <w:rPr>
          <w:rFonts w:ascii="Arial" w:hAnsi="Arial" w:cs="Arial"/>
        </w:rPr>
      </w:pPr>
    </w:p>
    <w:p w:rsidRPr="00D50326" w:rsidR="002000E7" w:rsidP="00341702" w:rsidRDefault="00263346" w14:paraId="077C28B4" w14:textId="77777777">
      <w:pPr>
        <w:pStyle w:val="ListParagraph"/>
        <w:ind w:left="0"/>
        <w:rPr>
          <w:rFonts w:ascii="Arial" w:hAnsi="Arial" w:cs="Arial"/>
        </w:rPr>
      </w:pPr>
      <w:r w:rsidRPr="00D50326">
        <w:rPr>
          <w:rFonts w:ascii="Arial" w:hAnsi="Arial" w:cs="Arial"/>
        </w:rPr>
        <w:t xml:space="preserve">During the financial year 2018/19 in Greater Norwich 234 households said that the main reason for the loss of their last settled home was because of domestic abuse. It is likely that </w:t>
      </w:r>
      <w:r w:rsidR="001F6431">
        <w:rPr>
          <w:rFonts w:ascii="Arial" w:hAnsi="Arial" w:cs="Arial"/>
        </w:rPr>
        <w:t>this number is higher due</w:t>
      </w:r>
      <w:r w:rsidRPr="00D50326">
        <w:rPr>
          <w:rFonts w:ascii="Arial" w:hAnsi="Arial" w:cs="Arial"/>
        </w:rPr>
        <w:t xml:space="preserve"> under reporting.</w:t>
      </w:r>
      <w:r w:rsidRPr="00D50326" w:rsidR="00106DAE">
        <w:rPr>
          <w:rFonts w:ascii="Arial" w:hAnsi="Arial" w:cs="Arial"/>
        </w:rPr>
        <w:t xml:space="preserve"> The reported number of 234 can be split geographically as follows:</w:t>
      </w:r>
    </w:p>
    <w:p w:rsidRPr="00D50326" w:rsidR="00106DAE" w:rsidP="002000E7" w:rsidRDefault="00106DAE" w14:paraId="41322B80" w14:textId="77777777">
      <w:pPr>
        <w:pStyle w:val="ListParagraph"/>
        <w:ind w:left="1125"/>
        <w:rPr>
          <w:rFonts w:ascii="Arial" w:hAnsi="Arial" w:cs="Arial"/>
        </w:rPr>
      </w:pPr>
    </w:p>
    <w:p w:rsidRPr="00D50326" w:rsidR="00106DAE" w:rsidP="00616716" w:rsidRDefault="00106DAE" w14:paraId="3CBBAA7D" w14:textId="77777777">
      <w:pPr>
        <w:pStyle w:val="ListParagraph"/>
        <w:numPr>
          <w:ilvl w:val="0"/>
          <w:numId w:val="5"/>
        </w:numPr>
        <w:rPr>
          <w:rFonts w:ascii="Arial" w:hAnsi="Arial" w:cs="Arial"/>
        </w:rPr>
      </w:pPr>
      <w:r w:rsidRPr="00D50326">
        <w:rPr>
          <w:rFonts w:ascii="Arial" w:hAnsi="Arial" w:cs="Arial"/>
        </w:rPr>
        <w:t>Broadland – 15 households</w:t>
      </w:r>
    </w:p>
    <w:p w:rsidRPr="00D50326" w:rsidR="00106DAE" w:rsidP="00616716" w:rsidRDefault="00106DAE" w14:paraId="068840D9" w14:textId="77777777">
      <w:pPr>
        <w:pStyle w:val="ListParagraph"/>
        <w:numPr>
          <w:ilvl w:val="0"/>
          <w:numId w:val="5"/>
        </w:numPr>
        <w:rPr>
          <w:rFonts w:ascii="Arial" w:hAnsi="Arial" w:cs="Arial"/>
        </w:rPr>
      </w:pPr>
      <w:r w:rsidRPr="00D50326">
        <w:rPr>
          <w:rFonts w:ascii="Arial" w:hAnsi="Arial" w:cs="Arial"/>
        </w:rPr>
        <w:t>Norwich – 177 households</w:t>
      </w:r>
    </w:p>
    <w:p w:rsidRPr="00D50326" w:rsidR="00106DAE" w:rsidP="00616716" w:rsidRDefault="00106DAE" w14:paraId="342C8A97" w14:textId="77777777">
      <w:pPr>
        <w:pStyle w:val="ListParagraph"/>
        <w:numPr>
          <w:ilvl w:val="0"/>
          <w:numId w:val="5"/>
        </w:numPr>
        <w:rPr>
          <w:rFonts w:ascii="Arial" w:hAnsi="Arial" w:cs="Arial"/>
        </w:rPr>
      </w:pPr>
      <w:r w:rsidRPr="00D50326">
        <w:rPr>
          <w:rFonts w:ascii="Arial" w:hAnsi="Arial" w:cs="Arial"/>
        </w:rPr>
        <w:t>South Norfolk – 42 households</w:t>
      </w:r>
    </w:p>
    <w:p w:rsidRPr="00D50326" w:rsidR="00937DC4" w:rsidP="00937DC4" w:rsidRDefault="00937DC4" w14:paraId="2BCDA0D1" w14:textId="77777777">
      <w:pPr>
        <w:ind w:left="1125"/>
        <w:rPr>
          <w:rFonts w:ascii="Arial" w:hAnsi="Arial" w:cs="Arial"/>
        </w:rPr>
      </w:pPr>
    </w:p>
    <w:p w:rsidR="001945C3" w:rsidP="00341702" w:rsidRDefault="00937DC4" w14:paraId="0A9F433A" w14:textId="77777777">
      <w:pPr>
        <w:rPr>
          <w:rFonts w:ascii="Arial" w:hAnsi="Arial" w:cs="Arial"/>
        </w:rPr>
      </w:pPr>
      <w:r w:rsidRPr="00D50326">
        <w:rPr>
          <w:rFonts w:ascii="Arial" w:hAnsi="Arial" w:cs="Arial"/>
        </w:rPr>
        <w:t xml:space="preserve">Nearly one in ten households that approach our housing options teams in Greater Norwich will </w:t>
      </w:r>
      <w:r w:rsidRPr="00D50326" w:rsidR="002016EA">
        <w:rPr>
          <w:rFonts w:ascii="Arial" w:hAnsi="Arial" w:cs="Arial"/>
        </w:rPr>
        <w:t>do so</w:t>
      </w:r>
      <w:r w:rsidRPr="00D50326">
        <w:rPr>
          <w:rFonts w:ascii="Arial" w:hAnsi="Arial" w:cs="Arial"/>
        </w:rPr>
        <w:t xml:space="preserve"> because they are fleeing domestic abuse of some kind, often because they lack the economic resources to secure alternative accommodation after leaving an abusive relationship </w:t>
      </w:r>
    </w:p>
    <w:p w:rsidR="0004710D" w:rsidP="001945C3" w:rsidRDefault="0004710D" w14:paraId="1AE2BE9F" w14:textId="77777777">
      <w:pPr>
        <w:tabs>
          <w:tab w:val="left" w:pos="9063"/>
        </w:tabs>
        <w:rPr>
          <w:rFonts w:ascii="Arial" w:hAnsi="Arial" w:cs="Arial"/>
        </w:rPr>
      </w:pPr>
    </w:p>
    <w:p w:rsidRPr="0081089B" w:rsidR="001945C3" w:rsidP="001945C3" w:rsidRDefault="0033798F" w14:paraId="07B7963C" w14:textId="77777777">
      <w:pPr>
        <w:tabs>
          <w:tab w:val="left" w:pos="9063"/>
        </w:tabs>
        <w:rPr>
          <w:rFonts w:ascii="Arial" w:hAnsi="Arial" w:cs="Arial"/>
          <w:b/>
          <w:color w:val="C00000"/>
        </w:rPr>
      </w:pPr>
      <w:r>
        <w:rPr>
          <w:rFonts w:ascii="Arial" w:hAnsi="Arial" w:cs="Arial"/>
        </w:rPr>
        <w:t>National statistics state</w:t>
      </w:r>
      <w:r w:rsidR="001945C3">
        <w:rPr>
          <w:rFonts w:ascii="Arial" w:hAnsi="Arial" w:cs="Arial"/>
        </w:rPr>
        <w:t xml:space="preserve"> that almost 1 in 3 women aged between16-59 will experience DA in their lifetime (ONS, 2019) while an estimated 20% of children in the UK have lived with an adult perpetrating DA (NSPCC, 2011). At the opposite end of the age spectrum, Safelives reports that o</w:t>
      </w:r>
      <w:r w:rsidRPr="00E1450B" w:rsidR="001945C3">
        <w:rPr>
          <w:rFonts w:ascii="Arial" w:hAnsi="Arial" w:cs="Arial"/>
        </w:rPr>
        <w:t xml:space="preserve">n average, older victims experience abuse for twice as long before seeking help as those aged under 61 and nearly half have a disability. </w:t>
      </w:r>
      <w:r w:rsidR="001945C3">
        <w:rPr>
          <w:rFonts w:ascii="Arial" w:hAnsi="Arial" w:cs="Arial"/>
        </w:rPr>
        <w:t xml:space="preserve">(Safelives 2016). </w:t>
      </w:r>
    </w:p>
    <w:p w:rsidR="001945C3" w:rsidP="001945C3" w:rsidRDefault="001945C3" w14:paraId="290B1F51" w14:textId="77777777">
      <w:pPr>
        <w:tabs>
          <w:tab w:val="left" w:pos="9063"/>
        </w:tabs>
        <w:rPr>
          <w:rFonts w:ascii="Arial" w:hAnsi="Arial" w:cs="Arial"/>
        </w:rPr>
      </w:pPr>
    </w:p>
    <w:p w:rsidR="001945C3" w:rsidP="001945C3" w:rsidRDefault="001945C3" w14:paraId="2ABD1DA6" w14:textId="77777777">
      <w:pPr>
        <w:tabs>
          <w:tab w:val="left" w:pos="9063"/>
        </w:tabs>
        <w:rPr>
          <w:rFonts w:ascii="Arial" w:hAnsi="Arial" w:cs="Arial"/>
        </w:rPr>
      </w:pPr>
      <w:r>
        <w:rPr>
          <w:rFonts w:ascii="Arial" w:hAnsi="Arial" w:cs="Arial"/>
        </w:rPr>
        <w:t xml:space="preserve">While we recognise the </w:t>
      </w:r>
      <w:r w:rsidR="0033798F">
        <w:rPr>
          <w:rFonts w:ascii="Arial" w:hAnsi="Arial" w:cs="Arial"/>
        </w:rPr>
        <w:t xml:space="preserve">disproportionate </w:t>
      </w:r>
      <w:r>
        <w:rPr>
          <w:rFonts w:ascii="Arial" w:hAnsi="Arial" w:cs="Arial"/>
        </w:rPr>
        <w:t xml:space="preserve">impact of DA on women and children it should also be noted that for those who identify as LGBTQ+, research from Stonewall (2018) </w:t>
      </w:r>
      <w:r w:rsidRPr="004F41F8">
        <w:rPr>
          <w:rFonts w:ascii="Arial" w:hAnsi="Arial" w:cs="Arial"/>
        </w:rPr>
        <w:t>suggests that 11% of the LGBT+ popul</w:t>
      </w:r>
      <w:r>
        <w:rPr>
          <w:rFonts w:ascii="Arial" w:hAnsi="Arial" w:cs="Arial"/>
        </w:rPr>
        <w:t>ation have experienced domestic abuse in the previous 12 months</w:t>
      </w:r>
      <w:r w:rsidRPr="004F41F8">
        <w:rPr>
          <w:rFonts w:ascii="Arial" w:hAnsi="Arial" w:cs="Arial"/>
        </w:rPr>
        <w:t>; twice as high as the</w:t>
      </w:r>
      <w:r>
        <w:rPr>
          <w:rFonts w:ascii="Arial" w:hAnsi="Arial" w:cs="Arial"/>
        </w:rPr>
        <w:t xml:space="preserve"> population as a whole. For bisexual women this </w:t>
      </w:r>
      <w:r w:rsidRPr="004F41F8">
        <w:rPr>
          <w:rFonts w:ascii="Arial" w:hAnsi="Arial" w:cs="Arial"/>
        </w:rPr>
        <w:t>increases to 13%, and for Trans or non-binary people to 19%</w:t>
      </w:r>
      <w:r>
        <w:rPr>
          <w:rFonts w:ascii="Arial" w:hAnsi="Arial" w:cs="Arial"/>
        </w:rPr>
        <w:t>. For me</w:t>
      </w:r>
      <w:r w:rsidR="0033798F">
        <w:rPr>
          <w:rFonts w:ascii="Arial" w:hAnsi="Arial" w:cs="Arial"/>
        </w:rPr>
        <w:t>n, approx. 4.2% of men</w:t>
      </w:r>
      <w:r w:rsidR="0004710D">
        <w:rPr>
          <w:rFonts w:ascii="Arial" w:hAnsi="Arial" w:cs="Arial"/>
        </w:rPr>
        <w:t xml:space="preserve"> </w:t>
      </w:r>
      <w:r>
        <w:rPr>
          <w:rFonts w:ascii="Arial" w:hAnsi="Arial" w:cs="Arial"/>
        </w:rPr>
        <w:t xml:space="preserve">suffered domestic abuse in 2018 (ONS). </w:t>
      </w:r>
      <w:r w:rsidR="0033798F">
        <w:rPr>
          <w:rFonts w:ascii="Arial" w:hAnsi="Arial" w:cs="Arial"/>
        </w:rPr>
        <w:t>The comparative figure for women is 7.9%</w:t>
      </w:r>
    </w:p>
    <w:p w:rsidR="001945C3" w:rsidP="00341702" w:rsidRDefault="001945C3" w14:paraId="34273E20" w14:textId="77777777">
      <w:pPr>
        <w:rPr>
          <w:rFonts w:ascii="Arial" w:hAnsi="Arial" w:cs="Arial"/>
        </w:rPr>
      </w:pPr>
    </w:p>
    <w:p w:rsidRPr="00F65493" w:rsidR="006900B4" w:rsidP="00320FB8" w:rsidRDefault="001945C3" w14:paraId="60871CC7" w14:textId="77777777">
      <w:pPr>
        <w:rPr>
          <w:rFonts w:ascii="Arial" w:hAnsi="Arial" w:cs="Arial"/>
          <w:b/>
          <w:color w:val="C00000"/>
        </w:rPr>
      </w:pPr>
      <w:r>
        <w:rPr>
          <w:rFonts w:ascii="Arial" w:hAnsi="Arial" w:cs="Arial"/>
        </w:rPr>
        <w:t xml:space="preserve"> </w:t>
      </w:r>
      <w:r w:rsidRPr="00D50326" w:rsidR="00937DC4">
        <w:rPr>
          <w:rFonts w:ascii="Arial" w:hAnsi="Arial" w:cs="Arial"/>
        </w:rPr>
        <w:t>Often the immediate need of a survivor fleeing domestic abuse is safety. Some survivors can stay safely in their home w</w:t>
      </w:r>
      <w:r w:rsidRPr="00D50326" w:rsidR="00320FB8">
        <w:rPr>
          <w:rFonts w:ascii="Arial" w:hAnsi="Arial" w:cs="Arial"/>
        </w:rPr>
        <w:t>ith</w:t>
      </w:r>
      <w:r w:rsidRPr="00D50326" w:rsidR="00937DC4">
        <w:rPr>
          <w:rFonts w:ascii="Arial" w:hAnsi="Arial" w:cs="Arial"/>
        </w:rPr>
        <w:t xml:space="preserve"> adaptions </w:t>
      </w:r>
      <w:r w:rsidRPr="00D50326" w:rsidR="00320FB8">
        <w:rPr>
          <w:rFonts w:ascii="Arial" w:hAnsi="Arial" w:cs="Arial"/>
        </w:rPr>
        <w:t>t</w:t>
      </w:r>
      <w:r w:rsidR="001F6431">
        <w:rPr>
          <w:rFonts w:ascii="Arial" w:hAnsi="Arial" w:cs="Arial"/>
        </w:rPr>
        <w:t>o make the home</w:t>
      </w:r>
      <w:r w:rsidRPr="00D50326" w:rsidR="00937DC4">
        <w:rPr>
          <w:rFonts w:ascii="Arial" w:hAnsi="Arial" w:cs="Arial"/>
        </w:rPr>
        <w:t xml:space="preserve"> safe. In other </w:t>
      </w:r>
      <w:r w:rsidRPr="00D50326" w:rsidR="00923610">
        <w:rPr>
          <w:rFonts w:ascii="Arial" w:hAnsi="Arial" w:cs="Arial"/>
        </w:rPr>
        <w:t>cases,</w:t>
      </w:r>
      <w:r w:rsidRPr="00D50326" w:rsidR="00937DC4">
        <w:rPr>
          <w:rFonts w:ascii="Arial" w:hAnsi="Arial" w:cs="Arial"/>
        </w:rPr>
        <w:t xml:space="preserve"> people will need some form of transitional housing like a refuge or safe house to help bridge the gap before returning to independent housing. This </w:t>
      </w:r>
      <w:r w:rsidRPr="00D50326" w:rsidR="00320FB8">
        <w:rPr>
          <w:rFonts w:ascii="Arial" w:hAnsi="Arial" w:cs="Arial"/>
        </w:rPr>
        <w:t>time</w:t>
      </w:r>
      <w:r w:rsidRPr="00D50326" w:rsidR="00937DC4">
        <w:rPr>
          <w:rFonts w:ascii="Arial" w:hAnsi="Arial" w:cs="Arial"/>
        </w:rPr>
        <w:t xml:space="preserve"> can be very unsettling for survivors and their families and the role of housing options teams is to ensure that the transition to safety and future housing options are available.</w:t>
      </w:r>
      <w:r w:rsidRPr="00D50326" w:rsidR="00320FB8">
        <w:rPr>
          <w:rFonts w:ascii="Arial" w:hAnsi="Arial" w:cs="Arial"/>
        </w:rPr>
        <w:t xml:space="preserve"> </w:t>
      </w:r>
    </w:p>
    <w:p w:rsidRPr="00D50326" w:rsidR="006900B4" w:rsidP="00320FB8" w:rsidRDefault="006900B4" w14:paraId="3A67DF40" w14:textId="77777777">
      <w:pPr>
        <w:rPr>
          <w:rFonts w:ascii="Arial" w:hAnsi="Arial" w:cs="Arial"/>
        </w:rPr>
      </w:pPr>
    </w:p>
    <w:p w:rsidRPr="00D50326" w:rsidR="006900B4" w:rsidP="006900B4" w:rsidRDefault="006900B4" w14:paraId="3DEC75BD" w14:textId="77777777">
      <w:pPr>
        <w:rPr>
          <w:rFonts w:ascii="Arial" w:hAnsi="Arial" w:cs="Arial"/>
        </w:rPr>
      </w:pPr>
      <w:r w:rsidRPr="00D50326">
        <w:rPr>
          <w:rFonts w:ascii="Arial" w:hAnsi="Arial" w:cs="Arial"/>
        </w:rPr>
        <w:lastRenderedPageBreak/>
        <w:t>The national No Woman Turned Away</w:t>
      </w:r>
      <w:r w:rsidRPr="00D50326">
        <w:rPr>
          <w:rStyle w:val="FootnoteReference"/>
          <w:rFonts w:ascii="Arial" w:hAnsi="Arial" w:cs="Arial"/>
        </w:rPr>
        <w:footnoteReference w:id="14"/>
      </w:r>
      <w:r w:rsidRPr="00D50326">
        <w:rPr>
          <w:rFonts w:ascii="Arial" w:hAnsi="Arial" w:cs="Arial"/>
        </w:rPr>
        <w:t xml:space="preserve"> project through Women’s Aid provided specialist support to women who faced barriers in their search for a refuge place after fleeing domestic abuse. The barriers may have been due to specialist needs, such as mental health support, no recourse to public funds or supporting four or more children. Of the 309 women supported through the duration of the project, while waiting to access a refuge space; 136 women sofa surfed with relatives, friends and even strangers; 22 women slept rough; 5 women slept rough with their children and 1 woman slept rough while pregnant. Additionally, 59 women experienced further abuse from the perpetrator and 30 women either remained or returned to the perpetrator. It should be noted that this report relates to a small cohort of women, however it highlights the vital importance of an appropriate and safe space to stay when fleeing domestic abuse.</w:t>
      </w:r>
    </w:p>
    <w:p w:rsidRPr="00D50326" w:rsidR="006900B4" w:rsidP="00320FB8" w:rsidRDefault="006900B4" w14:paraId="336DA52F" w14:textId="77777777">
      <w:pPr>
        <w:rPr>
          <w:rFonts w:ascii="Arial" w:hAnsi="Arial" w:cs="Arial"/>
        </w:rPr>
      </w:pPr>
    </w:p>
    <w:p w:rsidRPr="00D50326" w:rsidR="00320FB8" w:rsidP="00320FB8" w:rsidRDefault="00320FB8" w14:paraId="1066C788" w14:textId="77777777">
      <w:pPr>
        <w:rPr>
          <w:rFonts w:ascii="Arial" w:hAnsi="Arial" w:cs="Arial"/>
        </w:rPr>
      </w:pPr>
      <w:r w:rsidRPr="00D50326">
        <w:rPr>
          <w:rFonts w:ascii="Arial" w:hAnsi="Arial" w:cs="Arial"/>
        </w:rPr>
        <w:t xml:space="preserve">Although there is </w:t>
      </w:r>
      <w:r w:rsidRPr="00D50326" w:rsidR="006900B4">
        <w:rPr>
          <w:rFonts w:ascii="Arial" w:hAnsi="Arial" w:cs="Arial"/>
        </w:rPr>
        <w:t>always,</w:t>
      </w:r>
      <w:r w:rsidRPr="00D50326">
        <w:rPr>
          <w:rFonts w:ascii="Arial" w:hAnsi="Arial" w:cs="Arial"/>
        </w:rPr>
        <w:t xml:space="preserve"> opportunity to improve the offer and co-ordination of support available to those who have experienced Domestic Abuse it is important that we continue to contribute to the current systems. Crucial to this is the MARAC (Multi agency risk assessment conference) and the associated DASH assessment. Through this co-ordinated approach, partners consider the risk and required assistance on a daily basis making sure that there is no delay or gaps in provision provided to those experiencing DA. The DASH report also provides a tool to all professionals to make sure the correct questions are used whilst also ensuring consistency throughout the County.</w:t>
      </w:r>
    </w:p>
    <w:p w:rsidRPr="00D50326" w:rsidR="00937DC4" w:rsidP="00341702" w:rsidRDefault="00937DC4" w14:paraId="52015C82" w14:textId="77777777">
      <w:pPr>
        <w:rPr>
          <w:rFonts w:ascii="Arial" w:hAnsi="Arial" w:cs="Arial"/>
        </w:rPr>
      </w:pPr>
    </w:p>
    <w:p w:rsidRPr="00D50326" w:rsidR="002000E7" w:rsidP="00341702" w:rsidRDefault="002016EA" w14:paraId="1946D899" w14:textId="77777777">
      <w:pPr>
        <w:pStyle w:val="ListParagraph"/>
        <w:ind w:left="0"/>
        <w:rPr>
          <w:rFonts w:ascii="Arial" w:hAnsi="Arial" w:cs="Arial"/>
        </w:rPr>
      </w:pPr>
      <w:r w:rsidRPr="00D50326">
        <w:rPr>
          <w:rFonts w:ascii="Arial" w:hAnsi="Arial" w:cs="Arial"/>
        </w:rPr>
        <w:t>Through our homelessness review consultation events to help inform this strategy the following issues were raised</w:t>
      </w:r>
      <w:r w:rsidRPr="00D50326" w:rsidR="00494F5B">
        <w:rPr>
          <w:rFonts w:ascii="Arial" w:hAnsi="Arial" w:cs="Arial"/>
        </w:rPr>
        <w:t xml:space="preserve"> (in no order of importance)</w:t>
      </w:r>
      <w:r w:rsidRPr="00D50326">
        <w:rPr>
          <w:rFonts w:ascii="Arial" w:hAnsi="Arial" w:cs="Arial"/>
        </w:rPr>
        <w:t>:</w:t>
      </w:r>
    </w:p>
    <w:p w:rsidRPr="00D50326" w:rsidR="00494F5B" w:rsidP="002000E7" w:rsidRDefault="00494F5B" w14:paraId="4DF0123D" w14:textId="77777777">
      <w:pPr>
        <w:pStyle w:val="ListParagraph"/>
        <w:ind w:left="1125"/>
        <w:rPr>
          <w:rFonts w:ascii="Arial" w:hAnsi="Arial" w:cs="Arial"/>
        </w:rPr>
      </w:pPr>
    </w:p>
    <w:p w:rsidRPr="00213173" w:rsidR="00494F5B" w:rsidP="00616716" w:rsidRDefault="00494F5B" w14:paraId="0DF891E5" w14:textId="77777777">
      <w:pPr>
        <w:pStyle w:val="ListParagraph"/>
        <w:numPr>
          <w:ilvl w:val="0"/>
          <w:numId w:val="28"/>
        </w:numPr>
        <w:rPr>
          <w:rFonts w:ascii="Arial" w:hAnsi="Arial" w:cs="Arial"/>
        </w:rPr>
      </w:pPr>
      <w:r w:rsidRPr="00213173">
        <w:rPr>
          <w:rFonts w:ascii="Arial" w:hAnsi="Arial" w:cs="Arial"/>
        </w:rPr>
        <w:t>Welfare benefit issues with people with no recourse to public funds in refuges making it difficult for them to stay.</w:t>
      </w:r>
    </w:p>
    <w:p w:rsidRPr="00213173" w:rsidR="00494F5B" w:rsidP="00616716" w:rsidRDefault="00494F5B" w14:paraId="1401A89B" w14:textId="77777777">
      <w:pPr>
        <w:pStyle w:val="ListParagraph"/>
        <w:numPr>
          <w:ilvl w:val="0"/>
          <w:numId w:val="28"/>
        </w:numPr>
        <w:rPr>
          <w:rFonts w:ascii="Arial" w:hAnsi="Arial" w:cs="Arial"/>
        </w:rPr>
      </w:pPr>
      <w:r w:rsidRPr="00213173">
        <w:rPr>
          <w:rFonts w:ascii="Arial" w:hAnsi="Arial" w:cs="Arial"/>
        </w:rPr>
        <w:t>Affordability issues for people accessing refuges who are working as rents are relatively high.</w:t>
      </w:r>
    </w:p>
    <w:p w:rsidR="00494F5B" w:rsidP="00616716" w:rsidRDefault="00494F5B" w14:paraId="1EADEE72" w14:textId="77777777">
      <w:pPr>
        <w:pStyle w:val="ListParagraph"/>
        <w:numPr>
          <w:ilvl w:val="0"/>
          <w:numId w:val="28"/>
        </w:numPr>
        <w:rPr>
          <w:rFonts w:ascii="Arial" w:hAnsi="Arial" w:cs="Arial"/>
        </w:rPr>
      </w:pPr>
      <w:r w:rsidRPr="00213173">
        <w:rPr>
          <w:rFonts w:ascii="Arial" w:hAnsi="Arial" w:cs="Arial"/>
        </w:rPr>
        <w:t>Alternative affordable accommodation options for people who do not want to access a refuge.</w:t>
      </w:r>
    </w:p>
    <w:p w:rsidR="004F2B02" w:rsidP="004F2B02" w:rsidRDefault="004F2B02" w14:paraId="11A13E5E" w14:textId="77777777">
      <w:pPr>
        <w:pStyle w:val="ListParagraph"/>
        <w:rPr>
          <w:rFonts w:ascii="Arial" w:hAnsi="Arial" w:cs="Arial"/>
        </w:rPr>
      </w:pPr>
    </w:p>
    <w:p w:rsidR="00007A21" w:rsidP="00007A21" w:rsidRDefault="00007A21" w14:paraId="71E26367" w14:textId="77777777">
      <w:pPr>
        <w:rPr>
          <w:rFonts w:ascii="Arial" w:hAnsi="Arial" w:cs="Arial"/>
        </w:rPr>
      </w:pPr>
    </w:p>
    <w:p w:rsidRPr="00223016" w:rsidR="00A31AAB" w:rsidP="00223016" w:rsidRDefault="00422486" w14:paraId="150C5CA8" w14:textId="77777777">
      <w:pPr>
        <w:pStyle w:val="GNHS3"/>
      </w:pPr>
      <w:r>
        <w:t>6.12</w:t>
      </w:r>
      <w:r w:rsidR="00223016">
        <w:tab/>
      </w:r>
      <w:r w:rsidRPr="00223016" w:rsidR="0020615D">
        <w:t>Actions to S</w:t>
      </w:r>
      <w:r w:rsidRPr="00223016" w:rsidR="00A31AAB">
        <w:t>upport house</w:t>
      </w:r>
      <w:r w:rsidRPr="00223016" w:rsidR="0020615D">
        <w:t>holds E</w:t>
      </w:r>
      <w:r w:rsidRPr="00223016" w:rsidR="00A31AAB">
        <w:t>x</w:t>
      </w:r>
      <w:r w:rsidRPr="00223016" w:rsidR="00347F26">
        <w:t>periencing Domestic Abuse</w:t>
      </w:r>
    </w:p>
    <w:p w:rsidRPr="00347F26" w:rsidR="00347F26" w:rsidP="00347F26" w:rsidRDefault="00347F26" w14:paraId="164B64C9" w14:textId="77777777">
      <w:pPr>
        <w:pStyle w:val="ListParagraph"/>
        <w:ind w:left="540"/>
        <w:rPr>
          <w:rFonts w:ascii="Arial" w:hAnsi="Arial" w:cs="Arial"/>
        </w:rPr>
      </w:pPr>
    </w:p>
    <w:p w:rsidRPr="003F7A13" w:rsidR="006900B4" w:rsidP="00616716" w:rsidRDefault="006900B4" w14:paraId="65663EFF" w14:textId="77777777">
      <w:pPr>
        <w:pStyle w:val="ListParagraph"/>
        <w:numPr>
          <w:ilvl w:val="0"/>
          <w:numId w:val="6"/>
        </w:numPr>
        <w:spacing w:after="160" w:line="254" w:lineRule="auto"/>
        <w:rPr>
          <w:rFonts w:ascii="Arial" w:hAnsi="Arial" w:cs="Arial"/>
          <w:u w:val="single"/>
        </w:rPr>
      </w:pPr>
      <w:r w:rsidRPr="00D50326">
        <w:rPr>
          <w:rFonts w:ascii="Arial" w:hAnsi="Arial" w:cs="Arial"/>
        </w:rPr>
        <w:t>Develop and deliver flexible housing approaches to meet the needs of people fleeing domestic abuse, including male victims, people who identify as LGBTQ</w:t>
      </w:r>
      <w:r w:rsidR="00071ECB">
        <w:rPr>
          <w:rFonts w:ascii="Arial" w:hAnsi="Arial" w:cs="Arial"/>
        </w:rPr>
        <w:t>I</w:t>
      </w:r>
      <w:r w:rsidRPr="00D50326">
        <w:rPr>
          <w:rFonts w:ascii="Arial" w:hAnsi="Arial" w:cs="Arial"/>
        </w:rPr>
        <w:t>+ and those with more complex needs, across all tenures that are not currently being met by joint working with voluntary and statutory sector agencies.</w:t>
      </w:r>
    </w:p>
    <w:p w:rsidRPr="00D50326" w:rsidR="003F7A13" w:rsidP="003F7A13" w:rsidRDefault="003F7A13" w14:paraId="1E8B9D85" w14:textId="77777777">
      <w:pPr>
        <w:pStyle w:val="ListParagraph"/>
        <w:spacing w:after="160" w:line="254" w:lineRule="auto"/>
        <w:ind w:left="643"/>
        <w:rPr>
          <w:rFonts w:ascii="Arial" w:hAnsi="Arial" w:cs="Arial"/>
          <w:u w:val="single"/>
        </w:rPr>
      </w:pPr>
    </w:p>
    <w:p w:rsidRPr="000A071C" w:rsidR="00354CA0" w:rsidP="00616716" w:rsidRDefault="008B4713" w14:paraId="6D26CBD5" w14:textId="77777777">
      <w:pPr>
        <w:pStyle w:val="ListParagraph"/>
        <w:numPr>
          <w:ilvl w:val="0"/>
          <w:numId w:val="6"/>
        </w:numPr>
        <w:rPr>
          <w:rFonts w:ascii="Arial" w:hAnsi="Arial" w:cs="Arial"/>
        </w:rPr>
      </w:pPr>
      <w:r w:rsidRPr="000A071C">
        <w:rPr>
          <w:rFonts w:ascii="Arial" w:hAnsi="Arial" w:cs="Arial"/>
        </w:rPr>
        <w:t>Provide a consistent G</w:t>
      </w:r>
      <w:r w:rsidRPr="000A071C" w:rsidR="00354CA0">
        <w:rPr>
          <w:rFonts w:ascii="Arial" w:hAnsi="Arial" w:cs="Arial"/>
        </w:rPr>
        <w:t>reat</w:t>
      </w:r>
      <w:r w:rsidRPr="000A071C" w:rsidR="003F7A13">
        <w:rPr>
          <w:rFonts w:ascii="Arial" w:hAnsi="Arial" w:cs="Arial"/>
        </w:rPr>
        <w:t>er Norwich response across our Help</w:t>
      </w:r>
      <w:r w:rsidRPr="000A071C" w:rsidR="007A336A">
        <w:rPr>
          <w:rFonts w:ascii="Arial" w:hAnsi="Arial" w:cs="Arial"/>
        </w:rPr>
        <w:t>/Community</w:t>
      </w:r>
      <w:r w:rsidRPr="000A071C" w:rsidR="003F7A13">
        <w:rPr>
          <w:rFonts w:ascii="Arial" w:hAnsi="Arial" w:cs="Arial"/>
        </w:rPr>
        <w:t xml:space="preserve"> H</w:t>
      </w:r>
      <w:r w:rsidRPr="000A071C" w:rsidR="00354CA0">
        <w:rPr>
          <w:rFonts w:ascii="Arial" w:hAnsi="Arial" w:cs="Arial"/>
        </w:rPr>
        <w:t>ubs through our funded domestic abuse services</w:t>
      </w:r>
      <w:r w:rsidRPr="000A071C" w:rsidR="007A336A">
        <w:rPr>
          <w:rFonts w:ascii="Arial" w:hAnsi="Arial" w:cs="Arial"/>
        </w:rPr>
        <w:t xml:space="preserve"> and ensuring that resource capacity is sufficient to meet expected demand.</w:t>
      </w:r>
    </w:p>
    <w:p w:rsidRPr="000A071C" w:rsidR="003F7A13" w:rsidP="003F7A13" w:rsidRDefault="003F7A13" w14:paraId="0466A664" w14:textId="77777777">
      <w:pPr>
        <w:rPr>
          <w:rFonts w:ascii="Arial" w:hAnsi="Arial" w:cs="Arial"/>
        </w:rPr>
      </w:pPr>
    </w:p>
    <w:p w:rsidRPr="003F7A13" w:rsidR="00354CA0" w:rsidP="00616716" w:rsidRDefault="00354CA0" w14:paraId="7109EF1E" w14:textId="77777777">
      <w:pPr>
        <w:pStyle w:val="ListParagraph"/>
        <w:numPr>
          <w:ilvl w:val="0"/>
          <w:numId w:val="6"/>
        </w:numPr>
        <w:rPr>
          <w:rFonts w:ascii="Arial" w:hAnsi="Arial" w:cs="Arial"/>
        </w:rPr>
      </w:pPr>
      <w:r w:rsidRPr="003F7A13">
        <w:rPr>
          <w:rFonts w:ascii="Arial" w:hAnsi="Arial" w:cs="Arial"/>
        </w:rPr>
        <w:lastRenderedPageBreak/>
        <w:t>Work with DA Services and</w:t>
      </w:r>
      <w:r w:rsidR="003F7A13">
        <w:rPr>
          <w:rFonts w:ascii="Arial" w:hAnsi="Arial" w:cs="Arial"/>
        </w:rPr>
        <w:t xml:space="preserve"> the Mancroft Advice Project</w:t>
      </w:r>
      <w:r w:rsidRPr="003F7A13">
        <w:rPr>
          <w:rFonts w:ascii="Arial" w:hAnsi="Arial" w:cs="Arial"/>
        </w:rPr>
        <w:t>/Y</w:t>
      </w:r>
      <w:r w:rsidR="003F7A13">
        <w:rPr>
          <w:rFonts w:ascii="Arial" w:hAnsi="Arial" w:cs="Arial"/>
        </w:rPr>
        <w:t xml:space="preserve">outh </w:t>
      </w:r>
      <w:r w:rsidRPr="003F7A13">
        <w:rPr>
          <w:rFonts w:ascii="Arial" w:hAnsi="Arial" w:cs="Arial"/>
        </w:rPr>
        <w:t>A</w:t>
      </w:r>
      <w:r w:rsidR="003F7A13">
        <w:rPr>
          <w:rFonts w:ascii="Arial" w:hAnsi="Arial" w:cs="Arial"/>
        </w:rPr>
        <w:t>dvisory Boards</w:t>
      </w:r>
      <w:r w:rsidRPr="003F7A13">
        <w:rPr>
          <w:rFonts w:ascii="Arial" w:hAnsi="Arial" w:cs="Arial"/>
        </w:rPr>
        <w:t xml:space="preserve"> to develop a Freedom/Power to Change course for young people. </w:t>
      </w:r>
    </w:p>
    <w:p w:rsidR="003F7A13" w:rsidP="003F7A13" w:rsidRDefault="003F7A13" w14:paraId="252732DC" w14:textId="77777777">
      <w:pPr>
        <w:pStyle w:val="ListParagraph"/>
        <w:spacing w:after="160" w:line="254" w:lineRule="auto"/>
        <w:ind w:left="643"/>
        <w:rPr>
          <w:rFonts w:ascii="Arial" w:hAnsi="Arial" w:cs="Arial"/>
        </w:rPr>
      </w:pPr>
    </w:p>
    <w:p w:rsidRPr="00D50326" w:rsidR="006900B4" w:rsidP="00616716" w:rsidRDefault="006900B4" w14:paraId="6BD6D732" w14:textId="77777777">
      <w:pPr>
        <w:pStyle w:val="ListParagraph"/>
        <w:numPr>
          <w:ilvl w:val="0"/>
          <w:numId w:val="6"/>
        </w:numPr>
        <w:spacing w:after="160" w:line="254" w:lineRule="auto"/>
        <w:rPr>
          <w:rFonts w:ascii="Arial" w:hAnsi="Arial" w:cs="Arial"/>
        </w:rPr>
      </w:pPr>
      <w:r w:rsidRPr="00D50326">
        <w:rPr>
          <w:rFonts w:ascii="Arial" w:hAnsi="Arial" w:cs="Arial"/>
        </w:rPr>
        <w:t xml:space="preserve">Supporting the outcomes of the proposed Domestic Abuse Bill including the potential for new statutory duties for Tier 1 and Tier 2 authorities to convene DA Partnership Boards for commissioning of ‘domestic abuse safe accommodation.’ </w:t>
      </w:r>
    </w:p>
    <w:p w:rsidRPr="00D50326" w:rsidR="00354CA0" w:rsidP="00354CA0" w:rsidRDefault="00354CA0" w14:paraId="2C0A78A0" w14:textId="77777777">
      <w:pPr>
        <w:pStyle w:val="ListParagraph"/>
        <w:rPr>
          <w:rFonts w:ascii="Arial" w:hAnsi="Arial" w:cs="Arial"/>
          <w:b/>
        </w:rPr>
      </w:pPr>
    </w:p>
    <w:p w:rsidRPr="00D50326" w:rsidR="00F5382E" w:rsidP="00616716" w:rsidRDefault="00F5382E" w14:paraId="28C2557D" w14:textId="77777777">
      <w:pPr>
        <w:pStyle w:val="ListParagraph"/>
        <w:numPr>
          <w:ilvl w:val="0"/>
          <w:numId w:val="6"/>
        </w:numPr>
        <w:spacing w:after="160" w:line="256" w:lineRule="auto"/>
        <w:rPr>
          <w:rFonts w:ascii="Arial" w:hAnsi="Arial" w:cs="Arial"/>
        </w:rPr>
      </w:pPr>
      <w:r w:rsidRPr="00D50326">
        <w:rPr>
          <w:rFonts w:ascii="Arial" w:hAnsi="Arial" w:cs="Arial"/>
        </w:rPr>
        <w:t>Ensuring specific provision to overcome challenges for those living in a rural area (Particularly relevant for Bro</w:t>
      </w:r>
      <w:r w:rsidR="008B4713">
        <w:rPr>
          <w:rFonts w:ascii="Arial" w:hAnsi="Arial" w:cs="Arial"/>
        </w:rPr>
        <w:t>adland and South Norfolk D</w:t>
      </w:r>
      <w:r w:rsidR="003F7A13">
        <w:rPr>
          <w:rFonts w:ascii="Arial" w:hAnsi="Arial" w:cs="Arial"/>
        </w:rPr>
        <w:t>istrict</w:t>
      </w:r>
      <w:r w:rsidRPr="00D50326">
        <w:rPr>
          <w:rFonts w:ascii="Arial" w:hAnsi="Arial" w:cs="Arial"/>
        </w:rPr>
        <w:t xml:space="preserve"> areas).</w:t>
      </w:r>
    </w:p>
    <w:p w:rsidRPr="00D50326" w:rsidR="00F5382E" w:rsidP="00F5382E" w:rsidRDefault="00F5382E" w14:paraId="42565B33" w14:textId="77777777">
      <w:pPr>
        <w:pStyle w:val="ListParagraph"/>
        <w:rPr>
          <w:rFonts w:ascii="Arial" w:hAnsi="Arial" w:cs="Arial"/>
          <w:b/>
        </w:rPr>
      </w:pPr>
    </w:p>
    <w:p w:rsidRPr="000C7C2C" w:rsidR="00B064B2" w:rsidP="004D43BA" w:rsidRDefault="008E78E1" w14:paraId="05F5959D" w14:textId="77777777">
      <w:pPr>
        <w:pStyle w:val="GNHS3"/>
      </w:pPr>
      <w:r w:rsidRPr="000C7C2C">
        <w:t xml:space="preserve"> </w:t>
      </w:r>
      <w:r w:rsidR="000C7C2C">
        <w:t>6.2</w:t>
      </w:r>
      <w:r w:rsidR="000C7C2C">
        <w:tab/>
      </w:r>
      <w:r w:rsidRPr="000C7C2C" w:rsidR="00D5331E">
        <w:t>Priority T</w:t>
      </w:r>
      <w:r w:rsidRPr="000C7C2C" w:rsidR="00B064B2">
        <w:t>wo</w:t>
      </w:r>
      <w:r w:rsidRPr="000C7C2C" w:rsidR="001D038E">
        <w:t>: Preventing H</w:t>
      </w:r>
      <w:r w:rsidRPr="000C7C2C" w:rsidR="00202B8F">
        <w:t>omelessness</w:t>
      </w:r>
    </w:p>
    <w:p w:rsidRPr="00D50326" w:rsidR="00202B8F" w:rsidP="00202B8F" w:rsidRDefault="00202B8F" w14:paraId="39795298" w14:textId="77777777">
      <w:pPr>
        <w:rPr>
          <w:rFonts w:ascii="Arial" w:hAnsi="Arial" w:cs="Arial"/>
        </w:rPr>
      </w:pPr>
    </w:p>
    <w:p w:rsidRPr="00D50326" w:rsidR="00202B8F" w:rsidP="00202B8F" w:rsidRDefault="00A14BD7" w14:paraId="7E6271A6" w14:textId="77777777">
      <w:pPr>
        <w:rPr>
          <w:rFonts w:ascii="Arial" w:hAnsi="Arial" w:cs="Arial"/>
        </w:rPr>
      </w:pPr>
      <w:r w:rsidRPr="00D50326">
        <w:rPr>
          <w:rFonts w:ascii="Arial" w:hAnsi="Arial" w:cs="Arial"/>
        </w:rPr>
        <w:t>All three local district housing authorities in Greater Norwich ha</w:t>
      </w:r>
      <w:r w:rsidRPr="00D50326" w:rsidR="00F44565">
        <w:rPr>
          <w:rFonts w:ascii="Arial" w:hAnsi="Arial" w:cs="Arial"/>
        </w:rPr>
        <w:t>s a strong record in preventing and relieving homelessness, the data (from 2013/14 to 2017/18) below shows the number of households that were helped by our housing options teams.</w:t>
      </w:r>
      <w:r w:rsidRPr="00D50326" w:rsidR="00F44565">
        <w:rPr>
          <w:rStyle w:val="FootnoteReference"/>
          <w:rFonts w:ascii="Arial" w:hAnsi="Arial" w:cs="Arial"/>
          <w:sz w:val="16"/>
          <w:szCs w:val="16"/>
        </w:rPr>
        <w:footnoteReference w:id="15"/>
      </w:r>
      <w:r w:rsidRPr="00D50326" w:rsidR="00F44565">
        <w:rPr>
          <w:rFonts w:ascii="Arial" w:hAnsi="Arial" w:cs="Arial"/>
          <w:sz w:val="16"/>
          <w:szCs w:val="16"/>
        </w:rPr>
        <w:t xml:space="preserve"> </w:t>
      </w:r>
      <w:r w:rsidRPr="00D50326" w:rsidR="00173340">
        <w:rPr>
          <w:rFonts w:ascii="Arial" w:hAnsi="Arial" w:cs="Arial"/>
          <w:sz w:val="16"/>
          <w:szCs w:val="16"/>
        </w:rPr>
        <w:t xml:space="preserve"> </w:t>
      </w:r>
      <w:r w:rsidRPr="00D50326" w:rsidR="00173340">
        <w:rPr>
          <w:rFonts w:ascii="Arial" w:hAnsi="Arial" w:cs="Arial"/>
        </w:rPr>
        <w:t>The data</w:t>
      </w:r>
      <w:r w:rsidR="00454042">
        <w:rPr>
          <w:rFonts w:ascii="Arial" w:hAnsi="Arial" w:cs="Arial"/>
        </w:rPr>
        <w:t xml:space="preserve"> below</w:t>
      </w:r>
      <w:r w:rsidRPr="00D50326" w:rsidR="00173340">
        <w:rPr>
          <w:rFonts w:ascii="Arial" w:hAnsi="Arial" w:cs="Arial"/>
        </w:rPr>
        <w:t xml:space="preserve"> also shows a </w:t>
      </w:r>
      <w:r w:rsidRPr="00D50326" w:rsidR="001A3705">
        <w:rPr>
          <w:rFonts w:ascii="Arial" w:hAnsi="Arial" w:cs="Arial"/>
        </w:rPr>
        <w:t>comparative analysis</w:t>
      </w:r>
      <w:r w:rsidRPr="00D50326" w:rsidR="00173340">
        <w:rPr>
          <w:rFonts w:ascii="Arial" w:hAnsi="Arial" w:cs="Arial"/>
        </w:rPr>
        <w:t xml:space="preserve"> </w:t>
      </w:r>
      <w:r w:rsidRPr="00D50326" w:rsidR="001A3705">
        <w:rPr>
          <w:rFonts w:ascii="Arial" w:hAnsi="Arial" w:cs="Arial"/>
        </w:rPr>
        <w:t>of</w:t>
      </w:r>
      <w:r w:rsidRPr="00D50326" w:rsidR="00173340">
        <w:rPr>
          <w:rFonts w:ascii="Arial" w:hAnsi="Arial" w:cs="Arial"/>
        </w:rPr>
        <w:t xml:space="preserve"> our homelessness prevention and relief</w:t>
      </w:r>
      <w:r w:rsidRPr="00D50326" w:rsidR="001A3705">
        <w:rPr>
          <w:rFonts w:ascii="Arial" w:hAnsi="Arial" w:cs="Arial"/>
        </w:rPr>
        <w:t xml:space="preserve"> statistics</w:t>
      </w:r>
      <w:r w:rsidRPr="00D50326" w:rsidR="00173340">
        <w:rPr>
          <w:rFonts w:ascii="Arial" w:hAnsi="Arial" w:cs="Arial"/>
        </w:rPr>
        <w:t xml:space="preserve"> with the rest of the East of England average </w:t>
      </w:r>
      <w:r w:rsidRPr="00D50326" w:rsidR="001A3705">
        <w:rPr>
          <w:rFonts w:ascii="Arial" w:hAnsi="Arial" w:cs="Arial"/>
        </w:rPr>
        <w:t>(</w:t>
      </w:r>
      <w:r w:rsidRPr="00D50326" w:rsidR="00173340">
        <w:rPr>
          <w:rFonts w:ascii="Arial" w:hAnsi="Arial" w:cs="Arial"/>
        </w:rPr>
        <w:t>per 1,000 households</w:t>
      </w:r>
      <w:r w:rsidRPr="00D50326" w:rsidR="001A3705">
        <w:rPr>
          <w:rFonts w:ascii="Arial" w:hAnsi="Arial" w:cs="Arial"/>
        </w:rPr>
        <w:t>)</w:t>
      </w:r>
      <w:r w:rsidRPr="00D50326" w:rsidR="00173340">
        <w:rPr>
          <w:rFonts w:ascii="Arial" w:hAnsi="Arial" w:cs="Arial"/>
        </w:rPr>
        <w:t>.</w:t>
      </w:r>
    </w:p>
    <w:p w:rsidR="00377088" w:rsidP="009046FD" w:rsidRDefault="00377088" w14:paraId="21AEE4BE" w14:textId="77777777">
      <w:pPr>
        <w:rPr>
          <w:noProof/>
        </w:rPr>
      </w:pPr>
    </w:p>
    <w:p w:rsidR="00377088" w:rsidP="009046FD" w:rsidRDefault="00377088" w14:paraId="4D8A152E" w14:textId="77777777">
      <w:pPr>
        <w:rPr>
          <w:noProof/>
        </w:rPr>
      </w:pPr>
    </w:p>
    <w:p w:rsidR="00DB668F" w:rsidP="009046FD" w:rsidRDefault="003D43C7" w14:paraId="455B5C7A" w14:textId="77777777">
      <w:r w:rsidRPr="00377088">
        <w:rPr>
          <w:b/>
          <w:noProof/>
        </w:rPr>
        <w:drawing>
          <wp:inline distT="0" distB="0" distL="0" distR="0" wp14:anchorId="09EA1986" wp14:editId="74E1DCB4">
            <wp:extent cx="5200650" cy="3467100"/>
            <wp:effectExtent l="0" t="0" r="0" b="0"/>
            <wp:docPr id="7" name="Picture 7" descr="Diagram showing prevention and relief statisits for Broadland, Norwich, South Norfolk and East of England&#10;Number of households&#10;Average number per 1,000 households&#10;% assisted to find a new home." title="Prevention and Relief stati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33237" t="34864" r="31309" b="23119"/>
                    <a:stretch/>
                  </pic:blipFill>
                  <pic:spPr bwMode="auto">
                    <a:xfrm>
                      <a:off x="0" y="0"/>
                      <a:ext cx="5205390" cy="3470260"/>
                    </a:xfrm>
                    <a:prstGeom prst="rect">
                      <a:avLst/>
                    </a:prstGeom>
                    <a:ln>
                      <a:noFill/>
                    </a:ln>
                    <a:extLst>
                      <a:ext uri="{53640926-AAD7-44D8-BBD7-CCE9431645EC}">
                        <a14:shadowObscured xmlns:a14="http://schemas.microsoft.com/office/drawing/2010/main"/>
                      </a:ext>
                    </a:extLst>
                  </pic:spPr>
                </pic:pic>
              </a:graphicData>
            </a:graphic>
          </wp:inline>
        </w:drawing>
      </w:r>
    </w:p>
    <w:p w:rsidR="00C63EE4" w:rsidP="00202B8F" w:rsidRDefault="00377088" w14:paraId="5CF79B32" w14:textId="77777777">
      <w:pPr>
        <w:rPr>
          <w:rFonts w:ascii="Arial" w:hAnsi="Arial" w:cs="Arial"/>
        </w:rPr>
      </w:pPr>
      <w:r w:rsidRPr="00966218">
        <w:rPr>
          <w:rFonts w:ascii="Arial" w:hAnsi="Arial" w:cs="Arial"/>
          <w:sz w:val="16"/>
          <w:szCs w:val="16"/>
        </w:rPr>
        <w:t>Prevention and Relief Statistics for Greater Norwich</w:t>
      </w:r>
      <w:r w:rsidR="00DD5110">
        <w:rPr>
          <w:rFonts w:ascii="Arial" w:hAnsi="Arial" w:cs="Arial"/>
          <w:sz w:val="16"/>
          <w:szCs w:val="16"/>
        </w:rPr>
        <w:t xml:space="preserve"> 2018/19</w:t>
      </w:r>
    </w:p>
    <w:p w:rsidRPr="00007A21" w:rsidR="00085A47" w:rsidP="004D43BA" w:rsidRDefault="004D43BA" w14:paraId="2209B611" w14:textId="77777777">
      <w:pPr>
        <w:pStyle w:val="GNHS3"/>
      </w:pPr>
      <w:r>
        <w:t>6.21</w:t>
      </w:r>
      <w:r>
        <w:tab/>
      </w:r>
      <w:r w:rsidRPr="00007A21" w:rsidR="001D038E">
        <w:t>Discretionary Housing P</w:t>
      </w:r>
      <w:r w:rsidRPr="00007A21" w:rsidR="00085A47">
        <w:t>ayments</w:t>
      </w:r>
    </w:p>
    <w:p w:rsidRPr="00D50326" w:rsidR="00085A47" w:rsidP="00085A47" w:rsidRDefault="00085A47" w14:paraId="699A690A" w14:textId="77777777">
      <w:pPr>
        <w:pStyle w:val="ListParagraph"/>
        <w:ind w:left="1125"/>
        <w:rPr>
          <w:rFonts w:ascii="Arial" w:hAnsi="Arial" w:cs="Arial"/>
          <w:b/>
        </w:rPr>
      </w:pPr>
    </w:p>
    <w:p w:rsidRPr="00D50326" w:rsidR="00F231F5" w:rsidP="00202B8F" w:rsidRDefault="00F231F5" w14:paraId="63BC8DAE" w14:textId="77777777">
      <w:pPr>
        <w:rPr>
          <w:rFonts w:ascii="Arial" w:hAnsi="Arial" w:cs="Arial"/>
        </w:rPr>
      </w:pPr>
      <w:r w:rsidRPr="00D50326">
        <w:rPr>
          <w:rFonts w:ascii="Arial" w:hAnsi="Arial" w:cs="Arial"/>
        </w:rPr>
        <w:t>All local housing authorities</w:t>
      </w:r>
      <w:r w:rsidRPr="00D50326" w:rsidR="00085A47">
        <w:rPr>
          <w:rFonts w:ascii="Arial" w:hAnsi="Arial" w:cs="Arial"/>
        </w:rPr>
        <w:t xml:space="preserve"> (LHAs)</w:t>
      </w:r>
      <w:r w:rsidRPr="00D50326">
        <w:rPr>
          <w:rFonts w:ascii="Arial" w:hAnsi="Arial" w:cs="Arial"/>
        </w:rPr>
        <w:t xml:space="preserve"> can access Discretionary Housing Payments (DHP). The scheme allows </w:t>
      </w:r>
      <w:r w:rsidRPr="00D50326" w:rsidR="00085A47">
        <w:rPr>
          <w:rFonts w:ascii="Arial" w:hAnsi="Arial" w:cs="Arial"/>
        </w:rPr>
        <w:t>LHAs</w:t>
      </w:r>
      <w:r w:rsidRPr="00D50326">
        <w:rPr>
          <w:rFonts w:ascii="Arial" w:hAnsi="Arial" w:cs="Arial"/>
        </w:rPr>
        <w:t xml:space="preserve"> to make financial awards to </w:t>
      </w:r>
      <w:r w:rsidRPr="00D50326">
        <w:rPr>
          <w:rFonts w:ascii="Arial" w:hAnsi="Arial" w:cs="Arial"/>
        </w:rPr>
        <w:lastRenderedPageBreak/>
        <w:t>people experiencing financial difficulty with housing costs who qualify for housing benefit or universal credit housing costs. The Government has provided DHP since the introduction of welfare reforms in 2011. Specifically the fund is to help those affected by the following changes:</w:t>
      </w:r>
    </w:p>
    <w:p w:rsidRPr="00D50326" w:rsidR="00F231F5" w:rsidP="00616716" w:rsidRDefault="00F231F5" w14:paraId="53943F60" w14:textId="77777777">
      <w:pPr>
        <w:pStyle w:val="ListParagraph"/>
        <w:numPr>
          <w:ilvl w:val="0"/>
          <w:numId w:val="8"/>
        </w:numPr>
        <w:rPr>
          <w:rFonts w:ascii="Arial" w:hAnsi="Arial" w:cs="Arial"/>
        </w:rPr>
      </w:pPr>
      <w:r w:rsidRPr="00D50326">
        <w:rPr>
          <w:rFonts w:ascii="Arial" w:hAnsi="Arial" w:cs="Arial"/>
        </w:rPr>
        <w:t>Benefit cap</w:t>
      </w:r>
    </w:p>
    <w:p w:rsidRPr="00D50326" w:rsidR="00F231F5" w:rsidP="00616716" w:rsidRDefault="00F231F5" w14:paraId="795026AE" w14:textId="77777777">
      <w:pPr>
        <w:pStyle w:val="ListParagraph"/>
        <w:numPr>
          <w:ilvl w:val="0"/>
          <w:numId w:val="8"/>
        </w:numPr>
        <w:rPr>
          <w:rFonts w:ascii="Arial" w:hAnsi="Arial" w:cs="Arial"/>
        </w:rPr>
      </w:pPr>
      <w:r w:rsidRPr="00D50326">
        <w:rPr>
          <w:rFonts w:ascii="Arial" w:hAnsi="Arial" w:cs="Arial"/>
        </w:rPr>
        <w:t>Removal of</w:t>
      </w:r>
      <w:r w:rsidR="005C3CF8">
        <w:rPr>
          <w:rFonts w:ascii="Arial" w:hAnsi="Arial" w:cs="Arial"/>
        </w:rPr>
        <w:t xml:space="preserve"> the Spare Room Subsidy (Bedroom T</w:t>
      </w:r>
      <w:r w:rsidRPr="00D50326">
        <w:rPr>
          <w:rFonts w:ascii="Arial" w:hAnsi="Arial" w:cs="Arial"/>
        </w:rPr>
        <w:t>ax)</w:t>
      </w:r>
    </w:p>
    <w:p w:rsidRPr="00D50326" w:rsidR="00F231F5" w:rsidP="00616716" w:rsidRDefault="00F231F5" w14:paraId="12E8D521" w14:textId="77777777">
      <w:pPr>
        <w:pStyle w:val="ListParagraph"/>
        <w:numPr>
          <w:ilvl w:val="0"/>
          <w:numId w:val="8"/>
        </w:numPr>
        <w:rPr>
          <w:rFonts w:ascii="Arial" w:hAnsi="Arial" w:cs="Arial"/>
        </w:rPr>
      </w:pPr>
      <w:r w:rsidRPr="00D50326">
        <w:rPr>
          <w:rFonts w:ascii="Arial" w:hAnsi="Arial" w:cs="Arial"/>
        </w:rPr>
        <w:t>Local Housing Allowance shortfalls</w:t>
      </w:r>
    </w:p>
    <w:p w:rsidRPr="00D50326" w:rsidR="00F231F5" w:rsidP="00616716" w:rsidRDefault="00F231F5" w14:paraId="09450678" w14:textId="77777777">
      <w:pPr>
        <w:pStyle w:val="ListParagraph"/>
        <w:numPr>
          <w:ilvl w:val="0"/>
          <w:numId w:val="8"/>
        </w:numPr>
        <w:rPr>
          <w:rFonts w:ascii="Arial" w:hAnsi="Arial" w:cs="Arial"/>
        </w:rPr>
      </w:pPr>
      <w:r w:rsidRPr="00D50326">
        <w:rPr>
          <w:rFonts w:ascii="Arial" w:hAnsi="Arial" w:cs="Arial"/>
        </w:rPr>
        <w:t>Households in financial difficulty</w:t>
      </w:r>
    </w:p>
    <w:p w:rsidRPr="00D50326" w:rsidR="00FD6267" w:rsidP="00FD6267" w:rsidRDefault="00FD6267" w14:paraId="3815D4E7" w14:textId="77777777">
      <w:pPr>
        <w:pStyle w:val="ListParagraph"/>
        <w:rPr>
          <w:rFonts w:ascii="Arial" w:hAnsi="Arial" w:cs="Arial"/>
        </w:rPr>
      </w:pPr>
    </w:p>
    <w:p w:rsidRPr="00D50326" w:rsidR="00F231F5" w:rsidP="00F231F5" w:rsidRDefault="00F231F5" w14:paraId="38957B4F" w14:textId="77777777">
      <w:pPr>
        <w:rPr>
          <w:rFonts w:ascii="Arial" w:hAnsi="Arial" w:cs="Arial"/>
        </w:rPr>
      </w:pPr>
      <w:r w:rsidRPr="00D50326">
        <w:rPr>
          <w:rFonts w:ascii="Arial" w:hAnsi="Arial" w:cs="Arial"/>
        </w:rPr>
        <w:t>In total during 2018/19 in Greater Norwich £7</w:t>
      </w:r>
      <w:r w:rsidRPr="00D50326" w:rsidR="00212DF5">
        <w:rPr>
          <w:rFonts w:ascii="Arial" w:hAnsi="Arial" w:cs="Arial"/>
        </w:rPr>
        <w:t>73</w:t>
      </w:r>
      <w:r w:rsidRPr="00D50326">
        <w:rPr>
          <w:rFonts w:ascii="Arial" w:hAnsi="Arial" w:cs="Arial"/>
        </w:rPr>
        <w:t>,</w:t>
      </w:r>
      <w:r w:rsidRPr="00D50326" w:rsidR="00212DF5">
        <w:rPr>
          <w:rFonts w:ascii="Arial" w:hAnsi="Arial" w:cs="Arial"/>
        </w:rPr>
        <w:t>934</w:t>
      </w:r>
      <w:r w:rsidRPr="00D50326">
        <w:rPr>
          <w:rFonts w:ascii="Arial" w:hAnsi="Arial" w:cs="Arial"/>
        </w:rPr>
        <w:t xml:space="preserve"> was awarded</w:t>
      </w:r>
      <w:r w:rsidRPr="00D50326" w:rsidR="00E34623">
        <w:rPr>
          <w:rFonts w:ascii="Arial" w:hAnsi="Arial" w:cs="Arial"/>
        </w:rPr>
        <w:t xml:space="preserve"> (Broadland £128,973, Norwich £46</w:t>
      </w:r>
      <w:r w:rsidRPr="00D50326" w:rsidR="00212DF5">
        <w:rPr>
          <w:rFonts w:ascii="Arial" w:hAnsi="Arial" w:cs="Arial"/>
        </w:rPr>
        <w:t>9</w:t>
      </w:r>
      <w:r w:rsidRPr="00D50326" w:rsidR="00E34623">
        <w:rPr>
          <w:rFonts w:ascii="Arial" w:hAnsi="Arial" w:cs="Arial"/>
        </w:rPr>
        <w:t>,</w:t>
      </w:r>
      <w:r w:rsidRPr="00D50326" w:rsidR="00212DF5">
        <w:rPr>
          <w:rFonts w:ascii="Arial" w:hAnsi="Arial" w:cs="Arial"/>
        </w:rPr>
        <w:t>892</w:t>
      </w:r>
      <w:r w:rsidRPr="00D50326" w:rsidR="00E34623">
        <w:rPr>
          <w:rFonts w:ascii="Arial" w:hAnsi="Arial" w:cs="Arial"/>
        </w:rPr>
        <w:t xml:space="preserve"> and South Norfolk £174,897)</w:t>
      </w:r>
      <w:r w:rsidRPr="00D50326">
        <w:rPr>
          <w:rFonts w:ascii="Arial" w:hAnsi="Arial" w:cs="Arial"/>
        </w:rPr>
        <w:t xml:space="preserve"> for these purposes and can be broken down as follows</w:t>
      </w:r>
      <w:r w:rsidRPr="00D50326" w:rsidR="00E34623">
        <w:rPr>
          <w:rFonts w:ascii="Arial" w:hAnsi="Arial" w:cs="Arial"/>
        </w:rPr>
        <w:t xml:space="preserve"> (rounded up)</w:t>
      </w:r>
      <w:r w:rsidRPr="00D50326">
        <w:rPr>
          <w:rFonts w:ascii="Arial" w:hAnsi="Arial" w:cs="Arial"/>
        </w:rPr>
        <w:t>:</w:t>
      </w:r>
    </w:p>
    <w:p w:rsidRPr="00D50326" w:rsidR="00F916D3" w:rsidP="00F231F5" w:rsidRDefault="00F916D3" w14:paraId="59A853EC" w14:textId="77777777">
      <w:pPr>
        <w:rPr>
          <w:rFonts w:ascii="Arial" w:hAnsi="Arial" w:cs="Arial"/>
        </w:rPr>
      </w:pPr>
    </w:p>
    <w:tbl>
      <w:tblPr>
        <w:tblStyle w:val="TableGrid"/>
        <w:tblW w:w="0" w:type="auto"/>
        <w:tblLook w:val="04A0" w:firstRow="1" w:lastRow="0" w:firstColumn="1" w:lastColumn="0" w:noHBand="0" w:noVBand="1"/>
        <w:tblCaption w:val="Breakdown in descretionary housing payment spend"/>
        <w:tblDescription w:val="Table showing by % how discretionary housing payments were spent by Broadland, Norwich and South Norfolk. "/>
      </w:tblPr>
      <w:tblGrid>
        <w:gridCol w:w="1659"/>
        <w:gridCol w:w="1659"/>
        <w:gridCol w:w="1659"/>
        <w:gridCol w:w="1659"/>
        <w:gridCol w:w="1660"/>
      </w:tblGrid>
      <w:tr w:rsidRPr="00D50326" w:rsidR="00D50326" w:rsidTr="007A2718" w14:paraId="500624C8" w14:textId="77777777">
        <w:trPr>
          <w:cantSplit/>
          <w:tblHeader/>
        </w:trPr>
        <w:tc>
          <w:tcPr>
            <w:tcW w:w="1659" w:type="dxa"/>
            <w:shd w:val="clear" w:color="auto" w:fill="BFBFBF" w:themeFill="background1" w:themeFillShade="BF"/>
          </w:tcPr>
          <w:p w:rsidRPr="00D50326" w:rsidR="00E34623" w:rsidP="00F231F5" w:rsidRDefault="00E34623" w14:paraId="29A876DA" w14:textId="77777777">
            <w:pPr>
              <w:rPr>
                <w:rFonts w:ascii="Arial" w:hAnsi="Arial" w:cs="Arial"/>
                <w:b/>
              </w:rPr>
            </w:pPr>
            <w:r w:rsidRPr="00D50326">
              <w:rPr>
                <w:rFonts w:ascii="Arial" w:hAnsi="Arial" w:cs="Arial"/>
                <w:b/>
              </w:rPr>
              <w:t>LHA</w:t>
            </w:r>
          </w:p>
        </w:tc>
        <w:tc>
          <w:tcPr>
            <w:tcW w:w="1659" w:type="dxa"/>
            <w:shd w:val="clear" w:color="auto" w:fill="BFBFBF" w:themeFill="background1" w:themeFillShade="BF"/>
          </w:tcPr>
          <w:p w:rsidRPr="00D50326" w:rsidR="00E34623" w:rsidP="00F231F5" w:rsidRDefault="00F619D1" w14:paraId="3EE4552C" w14:textId="77777777">
            <w:pPr>
              <w:rPr>
                <w:rFonts w:ascii="Arial" w:hAnsi="Arial" w:cs="Arial"/>
                <w:b/>
              </w:rPr>
            </w:pPr>
            <w:r>
              <w:rPr>
                <w:rFonts w:ascii="Arial" w:hAnsi="Arial" w:cs="Arial"/>
                <w:b/>
              </w:rPr>
              <w:t>Benefit C</w:t>
            </w:r>
            <w:r w:rsidRPr="00D50326" w:rsidR="00E34623">
              <w:rPr>
                <w:rFonts w:ascii="Arial" w:hAnsi="Arial" w:cs="Arial"/>
                <w:b/>
              </w:rPr>
              <w:t>ap</w:t>
            </w:r>
          </w:p>
        </w:tc>
        <w:tc>
          <w:tcPr>
            <w:tcW w:w="1659" w:type="dxa"/>
            <w:shd w:val="clear" w:color="auto" w:fill="BFBFBF" w:themeFill="background1" w:themeFillShade="BF"/>
          </w:tcPr>
          <w:p w:rsidRPr="00D50326" w:rsidR="00E34623" w:rsidP="00F231F5" w:rsidRDefault="00F619D1" w14:paraId="58A459DE" w14:textId="77777777">
            <w:pPr>
              <w:rPr>
                <w:rFonts w:ascii="Arial" w:hAnsi="Arial" w:cs="Arial"/>
                <w:b/>
              </w:rPr>
            </w:pPr>
            <w:r>
              <w:rPr>
                <w:rFonts w:ascii="Arial" w:hAnsi="Arial" w:cs="Arial"/>
                <w:b/>
              </w:rPr>
              <w:t>Bedroom T</w:t>
            </w:r>
            <w:r w:rsidRPr="00D50326" w:rsidR="00E34623">
              <w:rPr>
                <w:rFonts w:ascii="Arial" w:hAnsi="Arial" w:cs="Arial"/>
                <w:b/>
              </w:rPr>
              <w:t>ax</w:t>
            </w:r>
          </w:p>
        </w:tc>
        <w:tc>
          <w:tcPr>
            <w:tcW w:w="1659" w:type="dxa"/>
            <w:shd w:val="clear" w:color="auto" w:fill="BFBFBF" w:themeFill="background1" w:themeFillShade="BF"/>
          </w:tcPr>
          <w:p w:rsidRPr="00D50326" w:rsidR="00E34623" w:rsidP="00F231F5" w:rsidRDefault="00F619D1" w14:paraId="34186E2B" w14:textId="77777777">
            <w:pPr>
              <w:rPr>
                <w:rFonts w:ascii="Arial" w:hAnsi="Arial" w:cs="Arial"/>
                <w:b/>
              </w:rPr>
            </w:pPr>
            <w:r>
              <w:rPr>
                <w:rFonts w:ascii="Arial" w:hAnsi="Arial" w:cs="Arial"/>
                <w:b/>
              </w:rPr>
              <w:t>Local Housing Allowance S</w:t>
            </w:r>
            <w:r w:rsidRPr="00D50326" w:rsidR="00E34623">
              <w:rPr>
                <w:rFonts w:ascii="Arial" w:hAnsi="Arial" w:cs="Arial"/>
                <w:b/>
              </w:rPr>
              <w:t>hortfall</w:t>
            </w:r>
          </w:p>
        </w:tc>
        <w:tc>
          <w:tcPr>
            <w:tcW w:w="1660" w:type="dxa"/>
            <w:shd w:val="clear" w:color="auto" w:fill="BFBFBF" w:themeFill="background1" w:themeFillShade="BF"/>
          </w:tcPr>
          <w:p w:rsidRPr="00D50326" w:rsidR="00E34623" w:rsidP="00F231F5" w:rsidRDefault="00F619D1" w14:paraId="28473D44" w14:textId="77777777">
            <w:pPr>
              <w:rPr>
                <w:rFonts w:ascii="Arial" w:hAnsi="Arial" w:cs="Arial"/>
                <w:b/>
              </w:rPr>
            </w:pPr>
            <w:r>
              <w:rPr>
                <w:rFonts w:ascii="Arial" w:hAnsi="Arial" w:cs="Arial"/>
                <w:b/>
              </w:rPr>
              <w:t>Core Housing C</w:t>
            </w:r>
            <w:r w:rsidRPr="00D50326" w:rsidR="00E34623">
              <w:rPr>
                <w:rFonts w:ascii="Arial" w:hAnsi="Arial" w:cs="Arial"/>
                <w:b/>
              </w:rPr>
              <w:t>osts</w:t>
            </w:r>
          </w:p>
        </w:tc>
      </w:tr>
      <w:tr w:rsidRPr="00D50326" w:rsidR="00D50326" w:rsidTr="007A2718" w14:paraId="5A8E2264" w14:textId="77777777">
        <w:trPr>
          <w:cantSplit/>
          <w:tblHeader/>
        </w:trPr>
        <w:tc>
          <w:tcPr>
            <w:tcW w:w="1659" w:type="dxa"/>
          </w:tcPr>
          <w:p w:rsidRPr="00D50326" w:rsidR="00E34623" w:rsidP="00F231F5" w:rsidRDefault="00E34623" w14:paraId="16BDE6A6" w14:textId="77777777">
            <w:pPr>
              <w:rPr>
                <w:rFonts w:ascii="Arial" w:hAnsi="Arial" w:cs="Arial"/>
              </w:rPr>
            </w:pPr>
            <w:r w:rsidRPr="00D50326">
              <w:rPr>
                <w:rFonts w:ascii="Arial" w:hAnsi="Arial" w:cs="Arial"/>
              </w:rPr>
              <w:t>Broadland</w:t>
            </w:r>
          </w:p>
        </w:tc>
        <w:tc>
          <w:tcPr>
            <w:tcW w:w="1659" w:type="dxa"/>
          </w:tcPr>
          <w:p w:rsidRPr="00D50326" w:rsidR="00E34623" w:rsidP="00F231F5" w:rsidRDefault="00E34623" w14:paraId="0E46278E" w14:textId="77777777">
            <w:pPr>
              <w:rPr>
                <w:rFonts w:ascii="Arial" w:hAnsi="Arial" w:cs="Arial"/>
              </w:rPr>
            </w:pPr>
            <w:r w:rsidRPr="00D50326">
              <w:rPr>
                <w:rFonts w:ascii="Arial" w:hAnsi="Arial" w:cs="Arial"/>
              </w:rPr>
              <w:t>21%</w:t>
            </w:r>
          </w:p>
        </w:tc>
        <w:tc>
          <w:tcPr>
            <w:tcW w:w="1659" w:type="dxa"/>
          </w:tcPr>
          <w:p w:rsidRPr="00D50326" w:rsidR="00E34623" w:rsidP="00F231F5" w:rsidRDefault="00E34623" w14:paraId="34681D5F" w14:textId="77777777">
            <w:pPr>
              <w:rPr>
                <w:rFonts w:ascii="Arial" w:hAnsi="Arial" w:cs="Arial"/>
              </w:rPr>
            </w:pPr>
            <w:r w:rsidRPr="00D50326">
              <w:rPr>
                <w:rFonts w:ascii="Arial" w:hAnsi="Arial" w:cs="Arial"/>
              </w:rPr>
              <w:t>44%</w:t>
            </w:r>
          </w:p>
        </w:tc>
        <w:tc>
          <w:tcPr>
            <w:tcW w:w="1659" w:type="dxa"/>
          </w:tcPr>
          <w:p w:rsidRPr="00D50326" w:rsidR="00E34623" w:rsidP="00F231F5" w:rsidRDefault="00E34623" w14:paraId="193B947D" w14:textId="77777777">
            <w:pPr>
              <w:rPr>
                <w:rFonts w:ascii="Arial" w:hAnsi="Arial" w:cs="Arial"/>
              </w:rPr>
            </w:pPr>
            <w:r w:rsidRPr="00D50326">
              <w:rPr>
                <w:rFonts w:ascii="Arial" w:hAnsi="Arial" w:cs="Arial"/>
              </w:rPr>
              <w:t>22%</w:t>
            </w:r>
          </w:p>
        </w:tc>
        <w:tc>
          <w:tcPr>
            <w:tcW w:w="1660" w:type="dxa"/>
          </w:tcPr>
          <w:p w:rsidRPr="00D50326" w:rsidR="00E34623" w:rsidP="00F231F5" w:rsidRDefault="00E34623" w14:paraId="1DBC441F" w14:textId="77777777">
            <w:pPr>
              <w:rPr>
                <w:rFonts w:ascii="Arial" w:hAnsi="Arial" w:cs="Arial"/>
              </w:rPr>
            </w:pPr>
            <w:r w:rsidRPr="00D50326">
              <w:rPr>
                <w:rFonts w:ascii="Arial" w:hAnsi="Arial" w:cs="Arial"/>
              </w:rPr>
              <w:t>13%</w:t>
            </w:r>
          </w:p>
        </w:tc>
      </w:tr>
      <w:tr w:rsidRPr="00D50326" w:rsidR="00D50326" w:rsidTr="007A2718" w14:paraId="08F02D3C" w14:textId="77777777">
        <w:trPr>
          <w:cantSplit/>
          <w:tblHeader/>
        </w:trPr>
        <w:tc>
          <w:tcPr>
            <w:tcW w:w="1659" w:type="dxa"/>
          </w:tcPr>
          <w:p w:rsidRPr="00D50326" w:rsidR="00E34623" w:rsidP="00F231F5" w:rsidRDefault="00E34623" w14:paraId="19CA3AF6" w14:textId="77777777">
            <w:pPr>
              <w:rPr>
                <w:rFonts w:ascii="Arial" w:hAnsi="Arial" w:cs="Arial"/>
              </w:rPr>
            </w:pPr>
            <w:r w:rsidRPr="00D50326">
              <w:rPr>
                <w:rFonts w:ascii="Arial" w:hAnsi="Arial" w:cs="Arial"/>
              </w:rPr>
              <w:t>Norwich</w:t>
            </w:r>
          </w:p>
        </w:tc>
        <w:tc>
          <w:tcPr>
            <w:tcW w:w="1659" w:type="dxa"/>
          </w:tcPr>
          <w:p w:rsidRPr="00D50326" w:rsidR="00E34623" w:rsidP="00F231F5" w:rsidRDefault="00E34623" w14:paraId="7E44A0AB" w14:textId="77777777">
            <w:pPr>
              <w:rPr>
                <w:rFonts w:ascii="Arial" w:hAnsi="Arial" w:cs="Arial"/>
              </w:rPr>
            </w:pPr>
            <w:r w:rsidRPr="00D50326">
              <w:rPr>
                <w:rFonts w:ascii="Arial" w:hAnsi="Arial" w:cs="Arial"/>
              </w:rPr>
              <w:t>21%</w:t>
            </w:r>
          </w:p>
        </w:tc>
        <w:tc>
          <w:tcPr>
            <w:tcW w:w="1659" w:type="dxa"/>
          </w:tcPr>
          <w:p w:rsidRPr="00D50326" w:rsidR="00E34623" w:rsidP="00F231F5" w:rsidRDefault="00E34623" w14:paraId="29D4ADE5" w14:textId="77777777">
            <w:pPr>
              <w:rPr>
                <w:rFonts w:ascii="Arial" w:hAnsi="Arial" w:cs="Arial"/>
              </w:rPr>
            </w:pPr>
            <w:r w:rsidRPr="00D50326">
              <w:rPr>
                <w:rFonts w:ascii="Arial" w:hAnsi="Arial" w:cs="Arial"/>
              </w:rPr>
              <w:t>61%</w:t>
            </w:r>
          </w:p>
        </w:tc>
        <w:tc>
          <w:tcPr>
            <w:tcW w:w="1659" w:type="dxa"/>
          </w:tcPr>
          <w:p w:rsidRPr="00D50326" w:rsidR="00E34623" w:rsidP="00F231F5" w:rsidRDefault="00E34623" w14:paraId="5F1FE1B6" w14:textId="77777777">
            <w:pPr>
              <w:rPr>
                <w:rFonts w:ascii="Arial" w:hAnsi="Arial" w:cs="Arial"/>
              </w:rPr>
            </w:pPr>
            <w:r w:rsidRPr="00D50326">
              <w:rPr>
                <w:rFonts w:ascii="Arial" w:hAnsi="Arial" w:cs="Arial"/>
              </w:rPr>
              <w:t>9%</w:t>
            </w:r>
          </w:p>
        </w:tc>
        <w:tc>
          <w:tcPr>
            <w:tcW w:w="1660" w:type="dxa"/>
          </w:tcPr>
          <w:p w:rsidRPr="00D50326" w:rsidR="00E34623" w:rsidP="00F231F5" w:rsidRDefault="00E34623" w14:paraId="6522F3CF" w14:textId="77777777">
            <w:pPr>
              <w:rPr>
                <w:rFonts w:ascii="Arial" w:hAnsi="Arial" w:cs="Arial"/>
              </w:rPr>
            </w:pPr>
            <w:r w:rsidRPr="00D50326">
              <w:rPr>
                <w:rFonts w:ascii="Arial" w:hAnsi="Arial" w:cs="Arial"/>
              </w:rPr>
              <w:t>10%</w:t>
            </w:r>
          </w:p>
        </w:tc>
      </w:tr>
      <w:tr w:rsidRPr="00D50326" w:rsidR="00E34623" w:rsidTr="007A2718" w14:paraId="2C616C3B" w14:textId="77777777">
        <w:trPr>
          <w:cantSplit/>
          <w:tblHeader/>
        </w:trPr>
        <w:tc>
          <w:tcPr>
            <w:tcW w:w="1659" w:type="dxa"/>
          </w:tcPr>
          <w:p w:rsidRPr="00D50326" w:rsidR="00E34623" w:rsidP="00F231F5" w:rsidRDefault="00E34623" w14:paraId="010412E5" w14:textId="77777777">
            <w:pPr>
              <w:rPr>
                <w:rFonts w:ascii="Arial" w:hAnsi="Arial" w:cs="Arial"/>
              </w:rPr>
            </w:pPr>
            <w:r w:rsidRPr="00D50326">
              <w:rPr>
                <w:rFonts w:ascii="Arial" w:hAnsi="Arial" w:cs="Arial"/>
              </w:rPr>
              <w:t>South Norfolk</w:t>
            </w:r>
          </w:p>
        </w:tc>
        <w:tc>
          <w:tcPr>
            <w:tcW w:w="1659" w:type="dxa"/>
          </w:tcPr>
          <w:p w:rsidRPr="00D50326" w:rsidR="00E34623" w:rsidP="00F231F5" w:rsidRDefault="00E34623" w14:paraId="1455823B" w14:textId="77777777">
            <w:pPr>
              <w:rPr>
                <w:rFonts w:ascii="Arial" w:hAnsi="Arial" w:cs="Arial"/>
              </w:rPr>
            </w:pPr>
            <w:r w:rsidRPr="00D50326">
              <w:rPr>
                <w:rFonts w:ascii="Arial" w:hAnsi="Arial" w:cs="Arial"/>
              </w:rPr>
              <w:t>28%</w:t>
            </w:r>
          </w:p>
        </w:tc>
        <w:tc>
          <w:tcPr>
            <w:tcW w:w="1659" w:type="dxa"/>
          </w:tcPr>
          <w:p w:rsidRPr="00D50326" w:rsidR="00E34623" w:rsidP="00F231F5" w:rsidRDefault="00E34623" w14:paraId="2F71DD43" w14:textId="77777777">
            <w:pPr>
              <w:rPr>
                <w:rFonts w:ascii="Arial" w:hAnsi="Arial" w:cs="Arial"/>
              </w:rPr>
            </w:pPr>
            <w:r w:rsidRPr="00D50326">
              <w:rPr>
                <w:rFonts w:ascii="Arial" w:hAnsi="Arial" w:cs="Arial"/>
              </w:rPr>
              <w:t>41%</w:t>
            </w:r>
          </w:p>
        </w:tc>
        <w:tc>
          <w:tcPr>
            <w:tcW w:w="1659" w:type="dxa"/>
          </w:tcPr>
          <w:p w:rsidRPr="00D50326" w:rsidR="00E34623" w:rsidP="00F231F5" w:rsidRDefault="00E34623" w14:paraId="3E4231CA" w14:textId="77777777">
            <w:pPr>
              <w:rPr>
                <w:rFonts w:ascii="Arial" w:hAnsi="Arial" w:cs="Arial"/>
              </w:rPr>
            </w:pPr>
            <w:r w:rsidRPr="00D50326">
              <w:rPr>
                <w:rFonts w:ascii="Arial" w:hAnsi="Arial" w:cs="Arial"/>
              </w:rPr>
              <w:t>18%</w:t>
            </w:r>
          </w:p>
        </w:tc>
        <w:tc>
          <w:tcPr>
            <w:tcW w:w="1660" w:type="dxa"/>
          </w:tcPr>
          <w:p w:rsidRPr="00D50326" w:rsidR="00E34623" w:rsidP="00F231F5" w:rsidRDefault="00E34623" w14:paraId="0C7CD76F" w14:textId="77777777">
            <w:pPr>
              <w:rPr>
                <w:rFonts w:ascii="Arial" w:hAnsi="Arial" w:cs="Arial"/>
              </w:rPr>
            </w:pPr>
            <w:r w:rsidRPr="00D50326">
              <w:rPr>
                <w:rFonts w:ascii="Arial" w:hAnsi="Arial" w:cs="Arial"/>
              </w:rPr>
              <w:t>12%</w:t>
            </w:r>
          </w:p>
        </w:tc>
      </w:tr>
    </w:tbl>
    <w:p w:rsidR="0027336B" w:rsidP="00F231F5" w:rsidRDefault="00D5030B" w14:paraId="3081E209" w14:textId="77777777">
      <w:pPr>
        <w:rPr>
          <w:rFonts w:ascii="Arial" w:hAnsi="Arial" w:cs="Arial"/>
          <w:sz w:val="16"/>
          <w:szCs w:val="16"/>
        </w:rPr>
      </w:pPr>
      <w:r w:rsidRPr="00D5030B">
        <w:rPr>
          <w:rFonts w:ascii="Arial" w:hAnsi="Arial" w:cs="Arial"/>
          <w:sz w:val="16"/>
          <w:szCs w:val="16"/>
        </w:rPr>
        <w:t>Table 12</w:t>
      </w:r>
    </w:p>
    <w:p w:rsidR="002B7588" w:rsidP="00F231F5" w:rsidRDefault="002B7588" w14:paraId="01C93B81" w14:textId="77777777">
      <w:pPr>
        <w:rPr>
          <w:rFonts w:ascii="Arial" w:hAnsi="Arial" w:cs="Arial"/>
        </w:rPr>
      </w:pPr>
    </w:p>
    <w:p w:rsidRPr="00D50326" w:rsidR="00F231F5" w:rsidP="00F231F5" w:rsidRDefault="008667AC" w14:paraId="1FFC7B3D" w14:textId="77777777">
      <w:pPr>
        <w:rPr>
          <w:rFonts w:ascii="Arial" w:hAnsi="Arial" w:cs="Arial"/>
          <w:sz w:val="16"/>
          <w:szCs w:val="16"/>
        </w:rPr>
      </w:pPr>
      <w:r w:rsidRPr="00D50326">
        <w:rPr>
          <w:rFonts w:ascii="Arial" w:hAnsi="Arial" w:cs="Arial"/>
        </w:rPr>
        <w:t>Fig</w:t>
      </w:r>
      <w:r w:rsidR="00586314">
        <w:rPr>
          <w:rFonts w:ascii="Arial" w:hAnsi="Arial" w:cs="Arial"/>
        </w:rPr>
        <w:t>ures would suggest that across greater Norwich the</w:t>
      </w:r>
      <w:r w:rsidRPr="00D50326">
        <w:rPr>
          <w:rFonts w:ascii="Arial" w:hAnsi="Arial" w:cs="Arial"/>
        </w:rPr>
        <w:t xml:space="preserve"> households at g</w:t>
      </w:r>
      <w:r w:rsidR="00586314">
        <w:rPr>
          <w:rFonts w:ascii="Arial" w:hAnsi="Arial" w:cs="Arial"/>
        </w:rPr>
        <w:t>reatest risk of homelessness have been subject</w:t>
      </w:r>
      <w:r w:rsidRPr="00D50326">
        <w:rPr>
          <w:rFonts w:ascii="Arial" w:hAnsi="Arial" w:cs="Arial"/>
        </w:rPr>
        <w:t xml:space="preserve"> to the removal of the spare room subsidy (bedroom tax). </w:t>
      </w:r>
      <w:r w:rsidRPr="00D50326" w:rsidR="009F24BE">
        <w:rPr>
          <w:rFonts w:ascii="Arial" w:hAnsi="Arial" w:cs="Arial"/>
        </w:rPr>
        <w:t>The difficulty for people living in properties that are larger than their requirements is the lack of smaller accommodation being available. The second highest is the benefit cap and this is more likely to affect families with children.</w:t>
      </w:r>
      <w:r w:rsidRPr="00D50326" w:rsidR="0041574C">
        <w:rPr>
          <w:rFonts w:ascii="Arial" w:hAnsi="Arial" w:cs="Arial"/>
        </w:rPr>
        <w:t xml:space="preserve"> Research has found that nationally lone parents head three-quarters of affected households</w:t>
      </w:r>
      <w:r w:rsidRPr="00D50326" w:rsidR="0041574C">
        <w:rPr>
          <w:rFonts w:ascii="Arial" w:hAnsi="Arial" w:cs="Arial"/>
          <w:sz w:val="16"/>
          <w:szCs w:val="16"/>
        </w:rPr>
        <w:t>.</w:t>
      </w:r>
      <w:r w:rsidRPr="00D50326" w:rsidR="0041574C">
        <w:rPr>
          <w:rStyle w:val="FootnoteReference"/>
          <w:rFonts w:ascii="Arial" w:hAnsi="Arial" w:cs="Arial"/>
          <w:sz w:val="16"/>
          <w:szCs w:val="16"/>
        </w:rPr>
        <w:footnoteReference w:id="16"/>
      </w:r>
      <w:r w:rsidRPr="00D50326" w:rsidR="0066620A">
        <w:rPr>
          <w:rFonts w:ascii="Arial" w:hAnsi="Arial" w:cs="Arial"/>
          <w:sz w:val="16"/>
          <w:szCs w:val="16"/>
        </w:rPr>
        <w:t xml:space="preserve"> </w:t>
      </w:r>
    </w:p>
    <w:p w:rsidRPr="00D50326" w:rsidR="00D86A13" w:rsidP="00F231F5" w:rsidRDefault="00D86A13" w14:paraId="34108F8E" w14:textId="77777777">
      <w:pPr>
        <w:rPr>
          <w:rFonts w:ascii="Arial" w:hAnsi="Arial" w:cs="Arial"/>
          <w:sz w:val="16"/>
          <w:szCs w:val="16"/>
        </w:rPr>
      </w:pPr>
    </w:p>
    <w:p w:rsidRPr="00D50326" w:rsidR="00D86A13" w:rsidP="00F231F5" w:rsidRDefault="00D86A13" w14:paraId="7A60147F" w14:textId="77777777">
      <w:pPr>
        <w:rPr>
          <w:rFonts w:ascii="Arial" w:hAnsi="Arial" w:cs="Arial"/>
        </w:rPr>
      </w:pPr>
      <w:r w:rsidRPr="00D50326">
        <w:rPr>
          <w:rFonts w:ascii="Arial" w:hAnsi="Arial" w:cs="Arial"/>
        </w:rPr>
        <w:t>As the above evidence shows these households affected by welfare reform are more at risk of becoming homeless. The funding allocation for 2019/20 has reduced by 15% compared to 2018/19. This reduction potentially could affect the numbers of households we can help who are struggling to keep a roof over their heads.</w:t>
      </w:r>
    </w:p>
    <w:p w:rsidRPr="00D50326" w:rsidR="00992241" w:rsidP="00F231F5" w:rsidRDefault="00992241" w14:paraId="52FF4B24" w14:textId="77777777">
      <w:pPr>
        <w:rPr>
          <w:rFonts w:ascii="Arial" w:hAnsi="Arial" w:cs="Arial"/>
        </w:rPr>
      </w:pPr>
    </w:p>
    <w:p w:rsidRPr="00007A21" w:rsidR="00992241" w:rsidP="00E67ECD" w:rsidRDefault="00E67ECD" w14:paraId="26F2796C" w14:textId="77777777">
      <w:pPr>
        <w:pStyle w:val="GNHS3"/>
      </w:pPr>
      <w:r>
        <w:t>6.22</w:t>
      </w:r>
      <w:r>
        <w:tab/>
      </w:r>
      <w:r w:rsidR="00586314">
        <w:t>How We A</w:t>
      </w:r>
      <w:r w:rsidRPr="00007A21" w:rsidR="0027336B">
        <w:t>pproach P</w:t>
      </w:r>
      <w:r w:rsidRPr="00007A21" w:rsidR="00992241">
        <w:t>revention in Greater Norwich</w:t>
      </w:r>
    </w:p>
    <w:p w:rsidRPr="00D50326" w:rsidR="00992241" w:rsidP="00992241" w:rsidRDefault="00992241" w14:paraId="3F28F9CE" w14:textId="77777777">
      <w:pPr>
        <w:pStyle w:val="ListParagraph"/>
        <w:ind w:left="1125"/>
        <w:rPr>
          <w:rFonts w:ascii="Arial" w:hAnsi="Arial" w:cs="Arial"/>
        </w:rPr>
      </w:pPr>
    </w:p>
    <w:p w:rsidRPr="00D50326" w:rsidR="00992241" w:rsidP="00454408" w:rsidRDefault="00992241" w14:paraId="220417F3" w14:textId="77777777">
      <w:pPr>
        <w:pStyle w:val="GNHS3"/>
      </w:pPr>
      <w:r w:rsidRPr="00D50326">
        <w:t>Broadland and South Norfolk</w:t>
      </w:r>
    </w:p>
    <w:p w:rsidRPr="00D50326" w:rsidR="00A70409" w:rsidP="00992241" w:rsidRDefault="00A70409" w14:paraId="12177D07" w14:textId="77777777">
      <w:pPr>
        <w:rPr>
          <w:rFonts w:ascii="Arial" w:hAnsi="Arial" w:cs="Arial"/>
        </w:rPr>
      </w:pPr>
    </w:p>
    <w:p w:rsidRPr="00D50326" w:rsidR="009665BD" w:rsidP="009665BD" w:rsidRDefault="009665BD" w14:paraId="2A242E6A" w14:textId="77777777">
      <w:pPr>
        <w:rPr>
          <w:sz w:val="22"/>
          <w:szCs w:val="22"/>
        </w:rPr>
      </w:pPr>
      <w:r w:rsidRPr="00D50326">
        <w:rPr>
          <w:rFonts w:ascii="Arial" w:hAnsi="Arial" w:cs="Arial"/>
        </w:rPr>
        <w:t>South Norfolk and Broadland</w:t>
      </w:r>
      <w:r w:rsidR="00BA6F03">
        <w:rPr>
          <w:rFonts w:ascii="Arial" w:hAnsi="Arial" w:cs="Arial"/>
        </w:rPr>
        <w:t xml:space="preserve">, </w:t>
      </w:r>
      <w:r w:rsidRPr="00D50326">
        <w:rPr>
          <w:rFonts w:ascii="Arial" w:hAnsi="Arial" w:cs="Arial"/>
        </w:rPr>
        <w:t>through their one team approach</w:t>
      </w:r>
      <w:r w:rsidR="00BA6F03">
        <w:rPr>
          <w:rFonts w:ascii="Arial" w:hAnsi="Arial" w:cs="Arial"/>
        </w:rPr>
        <w:t>,</w:t>
      </w:r>
      <w:r w:rsidRPr="00D50326">
        <w:rPr>
          <w:rFonts w:ascii="Arial" w:hAnsi="Arial" w:cs="Arial"/>
        </w:rPr>
        <w:t xml:space="preserve"> have created a model whereby prevention is key in managing resource pull</w:t>
      </w:r>
      <w:r w:rsidRPr="00D50326">
        <w:rPr>
          <w:rFonts w:ascii="Arial" w:hAnsi="Arial" w:cs="Arial"/>
          <w:b/>
          <w:bCs/>
        </w:rPr>
        <w:t>,</w:t>
      </w:r>
      <w:r w:rsidRPr="00D50326">
        <w:rPr>
          <w:rFonts w:ascii="Arial" w:hAnsi="Arial" w:cs="Arial"/>
        </w:rPr>
        <w:t xml:space="preserve"> allowing ever more focus on preventing people from facing the incred</w:t>
      </w:r>
      <w:r w:rsidR="0027336B">
        <w:rPr>
          <w:rFonts w:ascii="Arial" w:hAnsi="Arial" w:cs="Arial"/>
        </w:rPr>
        <w:t>ibly stressful situation where</w:t>
      </w:r>
      <w:r w:rsidRPr="00D50326">
        <w:rPr>
          <w:rFonts w:ascii="Arial" w:hAnsi="Arial" w:cs="Arial"/>
        </w:rPr>
        <w:t xml:space="preserve"> they do not have the security of a home for themselves and their family. We have taken the proactive decision to bring our Housing and Benefit teams together under one management team providing a seamless service to residents. Included within</w:t>
      </w:r>
      <w:r w:rsidR="00E65A31">
        <w:rPr>
          <w:rFonts w:ascii="Arial" w:hAnsi="Arial" w:cs="Arial"/>
        </w:rPr>
        <w:t xml:space="preserve"> this team</w:t>
      </w:r>
      <w:r w:rsidRPr="00D50326">
        <w:rPr>
          <w:rFonts w:ascii="Arial" w:hAnsi="Arial" w:cs="Arial"/>
        </w:rPr>
        <w:t xml:space="preserve"> are</w:t>
      </w:r>
      <w:r w:rsidR="0027336B">
        <w:rPr>
          <w:rFonts w:ascii="Arial" w:hAnsi="Arial" w:cs="Arial"/>
        </w:rPr>
        <w:t>;</w:t>
      </w:r>
      <w:r w:rsidRPr="00D50326">
        <w:rPr>
          <w:rFonts w:ascii="Arial" w:hAnsi="Arial" w:cs="Arial"/>
        </w:rPr>
        <w:t xml:space="preserve"> Housing Solut</w:t>
      </w:r>
      <w:r w:rsidR="0027336B">
        <w:rPr>
          <w:rFonts w:ascii="Arial" w:hAnsi="Arial" w:cs="Arial"/>
        </w:rPr>
        <w:t>ions Officers, where proactive</w:t>
      </w:r>
      <w:r w:rsidRPr="00D50326">
        <w:rPr>
          <w:rFonts w:ascii="Arial" w:hAnsi="Arial" w:cs="Arial"/>
        </w:rPr>
        <w:t xml:space="preserve"> and outcome </w:t>
      </w:r>
      <w:r w:rsidR="0027336B">
        <w:rPr>
          <w:rFonts w:ascii="Arial" w:hAnsi="Arial" w:cs="Arial"/>
        </w:rPr>
        <w:t>focussed decisions are expected; Support A</w:t>
      </w:r>
      <w:r w:rsidRPr="00D50326">
        <w:rPr>
          <w:rFonts w:ascii="Arial" w:hAnsi="Arial" w:cs="Arial"/>
        </w:rPr>
        <w:t xml:space="preserve">dvisers </w:t>
      </w:r>
      <w:r w:rsidRPr="00D50326">
        <w:rPr>
          <w:rFonts w:ascii="Arial" w:hAnsi="Arial" w:cs="Arial"/>
        </w:rPr>
        <w:lastRenderedPageBreak/>
        <w:t>who provide floating support and traini</w:t>
      </w:r>
      <w:r w:rsidR="0027336B">
        <w:rPr>
          <w:rFonts w:ascii="Arial" w:hAnsi="Arial" w:cs="Arial"/>
        </w:rPr>
        <w:t>ng, specially trained visiting Benefit S</w:t>
      </w:r>
      <w:r w:rsidRPr="00D50326">
        <w:rPr>
          <w:rFonts w:ascii="Arial" w:hAnsi="Arial" w:cs="Arial"/>
        </w:rPr>
        <w:t>taff who can quickly ascertain housing concerns and full utilisation of our Discretionary Housing Payment fund to make sure we achieve our aim in providing sustainable accommodation to all those who need it</w:t>
      </w:r>
    </w:p>
    <w:p w:rsidRPr="00D50326" w:rsidR="009665BD" w:rsidP="009665BD" w:rsidRDefault="009665BD" w14:paraId="49156D2D" w14:textId="77777777">
      <w:r w:rsidRPr="00D50326">
        <w:rPr>
          <w:rFonts w:ascii="Arial" w:hAnsi="Arial" w:cs="Arial"/>
        </w:rPr>
        <w:t> </w:t>
      </w:r>
    </w:p>
    <w:p w:rsidRPr="000A071C" w:rsidR="009665BD" w:rsidP="009665BD" w:rsidRDefault="009665BD" w14:paraId="560A3AED" w14:textId="77777777">
      <w:pPr>
        <w:rPr>
          <w:rFonts w:ascii="Arial" w:hAnsi="Arial" w:cs="Arial"/>
        </w:rPr>
      </w:pPr>
      <w:r w:rsidRPr="000A071C">
        <w:rPr>
          <w:rFonts w:ascii="Arial" w:hAnsi="Arial" w:cs="Arial"/>
        </w:rPr>
        <w:t xml:space="preserve">The Housing and Benefit teams are also </w:t>
      </w:r>
      <w:r w:rsidRPr="000A071C" w:rsidR="00E65A31">
        <w:rPr>
          <w:rFonts w:ascii="Arial" w:hAnsi="Arial" w:cs="Arial"/>
        </w:rPr>
        <w:t>located within our Help Hub which</w:t>
      </w:r>
      <w:r w:rsidRPr="000A071C">
        <w:rPr>
          <w:rFonts w:ascii="Arial" w:hAnsi="Arial" w:cs="Arial"/>
        </w:rPr>
        <w:t xml:space="preserve"> comprises over 30 partner agencies that deliver 52 different specialisms that all aid in preventing homelessness. Included within are Debt and </w:t>
      </w:r>
      <w:r w:rsidRPr="000A071C" w:rsidR="0027336B">
        <w:rPr>
          <w:rFonts w:ascii="Arial" w:hAnsi="Arial" w:cs="Arial"/>
        </w:rPr>
        <w:t>Welfare advice, Domestic Abuse A</w:t>
      </w:r>
      <w:r w:rsidRPr="000A071C">
        <w:rPr>
          <w:rFonts w:ascii="Arial" w:hAnsi="Arial" w:cs="Arial"/>
        </w:rPr>
        <w:t>dvisers, Social Services, and the Police</w:t>
      </w:r>
      <w:r w:rsidRPr="000A071C" w:rsidR="007A336A">
        <w:rPr>
          <w:rFonts w:ascii="Arial" w:hAnsi="Arial" w:cs="Arial"/>
        </w:rPr>
        <w:t xml:space="preserve"> in addition to links with the Norwich City Pathways service and Mental Health support for those at risk of homelessness. </w:t>
      </w:r>
      <w:r w:rsidRPr="000A071C">
        <w:rPr>
          <w:rFonts w:ascii="Arial" w:hAnsi="Arial" w:cs="Arial"/>
        </w:rPr>
        <w:t>This provides easily accessible holistic advice and support to people.  The Community Connectors provide a Help Hub presence in</w:t>
      </w:r>
      <w:r w:rsidRPr="000A071C" w:rsidR="0027336B">
        <w:rPr>
          <w:rFonts w:ascii="Arial" w:hAnsi="Arial" w:cs="Arial"/>
        </w:rPr>
        <w:t xml:space="preserve"> our communities, delivering a Social P</w:t>
      </w:r>
      <w:r w:rsidRPr="000A071C">
        <w:rPr>
          <w:rFonts w:ascii="Arial" w:hAnsi="Arial" w:cs="Arial"/>
        </w:rPr>
        <w:t xml:space="preserve">rescribing programme. Connectors are trained in recognising potential housing issues. This early identification is key for residents to obtain early access to </w:t>
      </w:r>
      <w:r w:rsidR="008C6B9A">
        <w:rPr>
          <w:rFonts w:ascii="Arial" w:hAnsi="Arial" w:cs="Arial"/>
        </w:rPr>
        <w:t>a package of services that meet</w:t>
      </w:r>
      <w:r w:rsidRPr="000A071C">
        <w:rPr>
          <w:rFonts w:ascii="Arial" w:hAnsi="Arial" w:cs="Arial"/>
        </w:rPr>
        <w:t xml:space="preserve"> their needs.</w:t>
      </w:r>
    </w:p>
    <w:p w:rsidRPr="00D50326" w:rsidR="00A70409" w:rsidP="00025A3D" w:rsidRDefault="00025A3D" w14:paraId="61837F4C" w14:textId="77777777">
      <w:pPr>
        <w:tabs>
          <w:tab w:val="left" w:pos="3481"/>
        </w:tabs>
        <w:rPr>
          <w:rFonts w:ascii="Arial" w:hAnsi="Arial" w:cs="Arial"/>
        </w:rPr>
      </w:pPr>
      <w:r w:rsidRPr="00D50326">
        <w:rPr>
          <w:rFonts w:ascii="Arial" w:hAnsi="Arial" w:cs="Arial"/>
        </w:rPr>
        <w:tab/>
      </w:r>
    </w:p>
    <w:p w:rsidRPr="00D50326" w:rsidR="00A70409" w:rsidP="00454408" w:rsidRDefault="00A70409" w14:paraId="0CB7615A" w14:textId="77777777">
      <w:pPr>
        <w:pStyle w:val="GNHS3"/>
      </w:pPr>
      <w:r w:rsidRPr="00D50326">
        <w:t>Norwich</w:t>
      </w:r>
    </w:p>
    <w:p w:rsidRPr="00D50326" w:rsidR="00A70409" w:rsidP="00992241" w:rsidRDefault="00A70409" w14:paraId="721E6BE5" w14:textId="77777777">
      <w:pPr>
        <w:rPr>
          <w:rFonts w:ascii="Arial" w:hAnsi="Arial" w:cs="Arial"/>
        </w:rPr>
      </w:pPr>
    </w:p>
    <w:p w:rsidRPr="00D50326" w:rsidR="00A70409" w:rsidP="00A70409" w:rsidRDefault="00A70409" w14:paraId="141E24DC" w14:textId="77777777">
      <w:pPr>
        <w:rPr>
          <w:rFonts w:ascii="Arial" w:hAnsi="Arial" w:cs="Arial"/>
        </w:rPr>
      </w:pPr>
      <w:r w:rsidRPr="00D50326">
        <w:rPr>
          <w:rFonts w:ascii="Arial" w:hAnsi="Arial" w:cs="Arial"/>
        </w:rPr>
        <w:t xml:space="preserve">Since 2007, NCC has used a </w:t>
      </w:r>
      <w:r w:rsidRPr="00D50326" w:rsidR="00025A3D">
        <w:rPr>
          <w:rFonts w:ascii="Arial" w:hAnsi="Arial" w:cs="Arial"/>
        </w:rPr>
        <w:t>prevention-based</w:t>
      </w:r>
      <w:r w:rsidRPr="00D50326">
        <w:rPr>
          <w:rFonts w:ascii="Arial" w:hAnsi="Arial" w:cs="Arial"/>
        </w:rPr>
        <w:t xml:space="preserve"> approach to dealing with homelessness. In the intervening </w:t>
      </w:r>
      <w:r w:rsidRPr="00D50326" w:rsidR="00025A3D">
        <w:rPr>
          <w:rFonts w:ascii="Arial" w:hAnsi="Arial" w:cs="Arial"/>
        </w:rPr>
        <w:t>period,</w:t>
      </w:r>
      <w:r w:rsidRPr="00D50326">
        <w:rPr>
          <w:rFonts w:ascii="Arial" w:hAnsi="Arial" w:cs="Arial"/>
        </w:rPr>
        <w:t xml:space="preserve"> this has </w:t>
      </w:r>
      <w:r w:rsidRPr="00D50326" w:rsidR="00025A3D">
        <w:rPr>
          <w:rFonts w:ascii="Arial" w:hAnsi="Arial" w:cs="Arial"/>
        </w:rPr>
        <w:t>led</w:t>
      </w:r>
      <w:r w:rsidRPr="00D50326">
        <w:rPr>
          <w:rFonts w:ascii="Arial" w:hAnsi="Arial" w:cs="Arial"/>
        </w:rPr>
        <w:t xml:space="preserve"> to the counc</w:t>
      </w:r>
      <w:r w:rsidR="0027336B">
        <w:rPr>
          <w:rFonts w:ascii="Arial" w:hAnsi="Arial" w:cs="Arial"/>
        </w:rPr>
        <w:t>il being awarded ‘Regional Champions’, ‘Trailblazer’ and ‘Gold S</w:t>
      </w:r>
      <w:r w:rsidRPr="00D50326">
        <w:rPr>
          <w:rFonts w:ascii="Arial" w:hAnsi="Arial" w:cs="Arial"/>
        </w:rPr>
        <w:t xml:space="preserve">tandard’ status to recognise the success of our commitment and approach to the prevention of homelessness. </w:t>
      </w:r>
    </w:p>
    <w:p w:rsidRPr="00D50326" w:rsidR="00A70409" w:rsidP="00A70409" w:rsidRDefault="00A70409" w14:paraId="6378B85A" w14:textId="77777777">
      <w:pPr>
        <w:rPr>
          <w:rFonts w:ascii="Arial" w:hAnsi="Arial" w:cs="Arial"/>
        </w:rPr>
      </w:pPr>
    </w:p>
    <w:p w:rsidRPr="00D50326" w:rsidR="00A70409" w:rsidP="00A70409" w:rsidRDefault="00A70409" w14:paraId="294549E3" w14:textId="77777777">
      <w:pPr>
        <w:rPr>
          <w:rFonts w:ascii="Arial" w:hAnsi="Arial" w:cs="Arial"/>
        </w:rPr>
      </w:pPr>
      <w:r w:rsidRPr="00D50326">
        <w:rPr>
          <w:rFonts w:ascii="Arial" w:hAnsi="Arial" w:cs="Arial"/>
        </w:rPr>
        <w:t>We are committed to providing an</w:t>
      </w:r>
      <w:r w:rsidR="00154DA1">
        <w:rPr>
          <w:rFonts w:ascii="Arial" w:hAnsi="Arial" w:cs="Arial"/>
        </w:rPr>
        <w:t xml:space="preserve"> accessible service, with duty </w:t>
      </w:r>
      <w:r w:rsidRPr="00545661" w:rsidR="00545661">
        <w:rPr>
          <w:rFonts w:ascii="Arial" w:hAnsi="Arial" w:cs="Arial"/>
        </w:rPr>
        <w:t xml:space="preserve">Homelessness </w:t>
      </w:r>
      <w:r w:rsidRPr="00545661" w:rsidR="00154DA1">
        <w:rPr>
          <w:rFonts w:ascii="Arial" w:hAnsi="Arial" w:cs="Arial"/>
        </w:rPr>
        <w:t>Prevention A</w:t>
      </w:r>
      <w:r w:rsidRPr="00545661">
        <w:rPr>
          <w:rFonts w:ascii="Arial" w:hAnsi="Arial" w:cs="Arial"/>
        </w:rPr>
        <w:t>dvisers</w:t>
      </w:r>
      <w:r w:rsidRPr="00D50326">
        <w:rPr>
          <w:rFonts w:ascii="Arial" w:hAnsi="Arial" w:cs="Arial"/>
        </w:rPr>
        <w:t xml:space="preserve"> available daily on a drop-in basis, providing expert advice to clients in housing need</w:t>
      </w:r>
      <w:r w:rsidR="00132B51">
        <w:rPr>
          <w:rFonts w:ascii="Arial" w:hAnsi="Arial" w:cs="Arial"/>
        </w:rPr>
        <w:t>.  Through all other channels, Housing Options O</w:t>
      </w:r>
      <w:r w:rsidRPr="00D50326">
        <w:rPr>
          <w:rFonts w:ascii="Arial" w:hAnsi="Arial" w:cs="Arial"/>
        </w:rPr>
        <w:t xml:space="preserve">fficers deal with all of the department’s contact, ensuring specialist advice at the first point of contact for all. </w:t>
      </w:r>
    </w:p>
    <w:p w:rsidRPr="00D50326" w:rsidR="00A70409" w:rsidP="00A70409" w:rsidRDefault="00A70409" w14:paraId="6230403C" w14:textId="77777777">
      <w:pPr>
        <w:rPr>
          <w:rFonts w:ascii="Arial" w:hAnsi="Arial" w:cs="Arial"/>
        </w:rPr>
      </w:pPr>
    </w:p>
    <w:p w:rsidRPr="00D50326" w:rsidR="00A70409" w:rsidP="00A70409" w:rsidRDefault="00A70409" w14:paraId="701D3588" w14:textId="77777777">
      <w:pPr>
        <w:rPr>
          <w:rFonts w:ascii="Arial" w:hAnsi="Arial" w:cs="Arial"/>
        </w:rPr>
      </w:pPr>
      <w:r w:rsidRPr="00D50326">
        <w:rPr>
          <w:rFonts w:ascii="Arial" w:hAnsi="Arial" w:cs="Arial"/>
        </w:rPr>
        <w:t>Our focus on specialism in housing advice and support extends to the provision of specialist co-ordinators in the areas of domestic abuse, rough sleeping and the private rented sector.</w:t>
      </w:r>
    </w:p>
    <w:p w:rsidRPr="00D50326" w:rsidR="00A70409" w:rsidP="00A70409" w:rsidRDefault="00A70409" w14:paraId="2B9B864A" w14:textId="77777777">
      <w:pPr>
        <w:rPr>
          <w:rFonts w:ascii="Arial" w:hAnsi="Arial" w:cs="Arial"/>
        </w:rPr>
      </w:pPr>
    </w:p>
    <w:p w:rsidRPr="00D50326" w:rsidR="00A70409" w:rsidP="00A70409" w:rsidRDefault="00A70409" w14:paraId="087B7D4F" w14:textId="77777777">
      <w:pPr>
        <w:rPr>
          <w:rFonts w:ascii="Arial" w:hAnsi="Arial" w:cs="Arial"/>
        </w:rPr>
      </w:pPr>
      <w:r w:rsidRPr="00D50326">
        <w:rPr>
          <w:rFonts w:ascii="Arial" w:hAnsi="Arial" w:cs="Arial"/>
        </w:rPr>
        <w:t>We provide a range of options to our clients and projects which originated in our</w:t>
      </w:r>
      <w:r w:rsidR="00E65A31">
        <w:rPr>
          <w:rFonts w:ascii="Arial" w:hAnsi="Arial" w:cs="Arial"/>
        </w:rPr>
        <w:t xml:space="preserve"> housing options service including</w:t>
      </w:r>
      <w:r w:rsidRPr="00D50326">
        <w:rPr>
          <w:rFonts w:ascii="Arial" w:hAnsi="Arial" w:cs="Arial"/>
        </w:rPr>
        <w:t xml:space="preserve"> ‘LetNCC’, which provides 300 units of privately leased accommodation to clients in housing need and ‘The Feed’, a social enterprise which helps</w:t>
      </w:r>
      <w:r w:rsidRPr="00D50326">
        <w:rPr>
          <w:rFonts w:ascii="Arial" w:hAnsi="Arial" w:cs="Arial"/>
          <w:sz w:val="23"/>
          <w:szCs w:val="23"/>
        </w:rPr>
        <w:t xml:space="preserve"> </w:t>
      </w:r>
      <w:r w:rsidRPr="00D50326">
        <w:rPr>
          <w:rFonts w:ascii="Arial" w:hAnsi="Arial" w:cs="Arial"/>
        </w:rPr>
        <w:t xml:space="preserve">help people who have experienced homelessness, helping people access long term housing, training and employment.   </w:t>
      </w:r>
    </w:p>
    <w:p w:rsidR="00FB3BBA" w:rsidP="00BF09BF" w:rsidRDefault="00FB3BBA" w14:paraId="0482EA90" w14:textId="77777777">
      <w:pPr>
        <w:rPr>
          <w:rFonts w:ascii="Arial" w:hAnsi="Arial" w:cs="Arial"/>
        </w:rPr>
      </w:pPr>
    </w:p>
    <w:p w:rsidRPr="00BF09BF" w:rsidR="00FB3BBA" w:rsidP="00BF09BF" w:rsidRDefault="00FB3BBA" w14:paraId="2D6D45E5" w14:textId="77777777">
      <w:pPr>
        <w:rPr>
          <w:rFonts w:ascii="Arial" w:hAnsi="Arial" w:cs="Arial"/>
        </w:rPr>
      </w:pPr>
    </w:p>
    <w:p w:rsidRPr="00A0373B" w:rsidR="00202B8F" w:rsidP="00454408" w:rsidRDefault="00454408" w14:paraId="541F22C7" w14:textId="77777777">
      <w:pPr>
        <w:pStyle w:val="GNHS3"/>
      </w:pPr>
      <w:r>
        <w:t>6.23</w:t>
      </w:r>
      <w:r>
        <w:tab/>
      </w:r>
      <w:r w:rsidR="004E08F9">
        <w:t>Actions: What we will do to Prevent H</w:t>
      </w:r>
      <w:r w:rsidRPr="00A0373B" w:rsidR="00202B8F">
        <w:t>omelessness</w:t>
      </w:r>
    </w:p>
    <w:p w:rsidRPr="00A0373B" w:rsidR="00A0373B" w:rsidP="00A0373B" w:rsidRDefault="00A0373B" w14:paraId="49861C29" w14:textId="77777777">
      <w:pPr>
        <w:pStyle w:val="ListParagraph"/>
        <w:ind w:left="1185"/>
        <w:rPr>
          <w:rFonts w:ascii="Arial" w:hAnsi="Arial" w:cs="Arial"/>
          <w:b/>
        </w:rPr>
      </w:pPr>
    </w:p>
    <w:p w:rsidR="00307EB1" w:rsidP="00616716" w:rsidRDefault="00202B8F" w14:paraId="38F33201" w14:textId="77777777">
      <w:pPr>
        <w:pStyle w:val="ListParagraph"/>
        <w:numPr>
          <w:ilvl w:val="0"/>
          <w:numId w:val="7"/>
        </w:numPr>
        <w:rPr>
          <w:rFonts w:ascii="Arial" w:hAnsi="Arial" w:cs="Arial"/>
        </w:rPr>
      </w:pPr>
      <w:r>
        <w:rPr>
          <w:rFonts w:ascii="Arial" w:hAnsi="Arial" w:cs="Arial"/>
        </w:rPr>
        <w:t>Continue to monitor the progress of the following protocols including:</w:t>
      </w:r>
    </w:p>
    <w:p w:rsidR="00307EB1" w:rsidP="00307EB1" w:rsidRDefault="00307EB1" w14:paraId="64D2136C" w14:textId="77777777">
      <w:pPr>
        <w:pStyle w:val="ListParagraph"/>
        <w:rPr>
          <w:rFonts w:ascii="Arial" w:hAnsi="Arial" w:cs="Arial"/>
        </w:rPr>
      </w:pPr>
    </w:p>
    <w:p w:rsidRPr="00545661" w:rsidR="00307EB1" w:rsidP="00616716" w:rsidRDefault="00307EB1" w14:paraId="6A4005E0" w14:textId="77777777">
      <w:pPr>
        <w:pStyle w:val="ListParagraph"/>
        <w:numPr>
          <w:ilvl w:val="0"/>
          <w:numId w:val="4"/>
        </w:numPr>
        <w:rPr>
          <w:rFonts w:ascii="Arial" w:hAnsi="Arial" w:cs="Arial"/>
        </w:rPr>
      </w:pPr>
      <w:r w:rsidRPr="00545661">
        <w:rPr>
          <w:rFonts w:ascii="Arial" w:hAnsi="Arial" w:cs="Arial"/>
        </w:rPr>
        <w:t>Greater Norwich &amp; Breckland Criminal Justice Homelessness Prevention Protocol</w:t>
      </w:r>
    </w:p>
    <w:p w:rsidR="00307EB1" w:rsidP="00616716" w:rsidRDefault="00307EB1" w14:paraId="352E54F1" w14:textId="77777777">
      <w:pPr>
        <w:pStyle w:val="ListParagraph"/>
        <w:numPr>
          <w:ilvl w:val="0"/>
          <w:numId w:val="4"/>
        </w:numPr>
        <w:rPr>
          <w:rFonts w:ascii="Arial" w:hAnsi="Arial" w:cs="Arial"/>
        </w:rPr>
      </w:pPr>
      <w:r w:rsidRPr="00545661">
        <w:rPr>
          <w:rFonts w:ascii="Arial" w:hAnsi="Arial" w:cs="Arial"/>
        </w:rPr>
        <w:lastRenderedPageBreak/>
        <w:t>Joint Protocol to Address the Needs of Homeless Young People in Norfolk</w:t>
      </w:r>
    </w:p>
    <w:p w:rsidRPr="00BA6F03" w:rsidR="00BA6F03" w:rsidP="00616716" w:rsidRDefault="00BA6F03" w14:paraId="4D7D70F9" w14:textId="77777777">
      <w:pPr>
        <w:pStyle w:val="ListParagraph"/>
        <w:numPr>
          <w:ilvl w:val="0"/>
          <w:numId w:val="4"/>
        </w:numPr>
        <w:rPr>
          <w:rFonts w:ascii="Arial" w:hAnsi="Arial" w:cs="Arial"/>
        </w:rPr>
      </w:pPr>
      <w:r>
        <w:rPr>
          <w:rFonts w:ascii="Arial" w:hAnsi="Arial" w:cs="Arial"/>
        </w:rPr>
        <w:t xml:space="preserve">Proposed </w:t>
      </w:r>
      <w:r w:rsidRPr="00545661">
        <w:rPr>
          <w:rFonts w:ascii="Arial" w:hAnsi="Arial" w:cs="Arial"/>
        </w:rPr>
        <w:t>Norfolk Mental Health Hospital Discharge and Homelessness Prevention Protocol</w:t>
      </w:r>
    </w:p>
    <w:p w:rsidR="00202B8F" w:rsidP="00202B8F" w:rsidRDefault="00202B8F" w14:paraId="6063EEF9" w14:textId="77777777">
      <w:pPr>
        <w:rPr>
          <w:rFonts w:ascii="Arial" w:hAnsi="Arial" w:cs="Arial"/>
        </w:rPr>
      </w:pPr>
    </w:p>
    <w:p w:rsidR="00E14368" w:rsidP="00616716" w:rsidRDefault="00DC18C9" w14:paraId="74D3C396" w14:textId="77777777">
      <w:pPr>
        <w:pStyle w:val="ListParagraph"/>
        <w:numPr>
          <w:ilvl w:val="0"/>
          <w:numId w:val="7"/>
        </w:numPr>
        <w:rPr>
          <w:rFonts w:ascii="Arial" w:hAnsi="Arial" w:cs="Arial"/>
        </w:rPr>
      </w:pPr>
      <w:r>
        <w:rPr>
          <w:rFonts w:ascii="Arial" w:hAnsi="Arial" w:cs="Arial"/>
        </w:rPr>
        <w:t>Undertake</w:t>
      </w:r>
      <w:r w:rsidR="00E14368">
        <w:rPr>
          <w:rFonts w:ascii="Arial" w:hAnsi="Arial" w:cs="Arial"/>
        </w:rPr>
        <w:t xml:space="preserve"> </w:t>
      </w:r>
      <w:r w:rsidR="0041074A">
        <w:rPr>
          <w:rFonts w:ascii="Arial" w:hAnsi="Arial" w:cs="Arial"/>
        </w:rPr>
        <w:t xml:space="preserve">quarterly </w:t>
      </w:r>
      <w:r w:rsidR="00E14368">
        <w:rPr>
          <w:rFonts w:ascii="Arial" w:hAnsi="Arial" w:cs="Arial"/>
        </w:rPr>
        <w:t xml:space="preserve">analysis of H-CLIC data </w:t>
      </w:r>
      <w:r w:rsidR="007562C3">
        <w:rPr>
          <w:rFonts w:ascii="Arial" w:hAnsi="Arial" w:cs="Arial"/>
        </w:rPr>
        <w:t>to deliver service improvements, monitor levels of homelessness and report this to the Greater Norwich homelessness forum</w:t>
      </w:r>
      <w:r w:rsidR="00640495">
        <w:rPr>
          <w:rFonts w:ascii="Arial" w:hAnsi="Arial" w:cs="Arial"/>
        </w:rPr>
        <w:t xml:space="preserve"> and members</w:t>
      </w:r>
      <w:r w:rsidR="007562C3">
        <w:rPr>
          <w:rFonts w:ascii="Arial" w:hAnsi="Arial" w:cs="Arial"/>
        </w:rPr>
        <w:t>.</w:t>
      </w:r>
    </w:p>
    <w:p w:rsidR="00E74394" w:rsidP="00E74394" w:rsidRDefault="00E74394" w14:paraId="7B03385E" w14:textId="77777777">
      <w:pPr>
        <w:pStyle w:val="ListParagraph"/>
        <w:rPr>
          <w:rFonts w:ascii="Arial" w:hAnsi="Arial" w:cs="Arial"/>
        </w:rPr>
      </w:pPr>
    </w:p>
    <w:p w:rsidR="00E74394" w:rsidP="00616716" w:rsidRDefault="00E74394" w14:paraId="4596571F" w14:textId="77777777">
      <w:pPr>
        <w:pStyle w:val="ListParagraph"/>
        <w:numPr>
          <w:ilvl w:val="0"/>
          <w:numId w:val="7"/>
        </w:numPr>
        <w:rPr>
          <w:rFonts w:ascii="Arial" w:hAnsi="Arial" w:cs="Arial"/>
        </w:rPr>
      </w:pPr>
      <w:r>
        <w:rPr>
          <w:rFonts w:ascii="Arial" w:hAnsi="Arial" w:cs="Arial"/>
        </w:rPr>
        <w:t>Increase the number of households at risk of homelessness stay</w:t>
      </w:r>
      <w:r w:rsidR="00AB7480">
        <w:rPr>
          <w:rFonts w:ascii="Arial" w:hAnsi="Arial" w:cs="Arial"/>
        </w:rPr>
        <w:t>ing</w:t>
      </w:r>
      <w:r>
        <w:rPr>
          <w:rFonts w:ascii="Arial" w:hAnsi="Arial" w:cs="Arial"/>
        </w:rPr>
        <w:t xml:space="preserve"> in their </w:t>
      </w:r>
      <w:r w:rsidR="005B0D09">
        <w:rPr>
          <w:rFonts w:ascii="Arial" w:hAnsi="Arial" w:cs="Arial"/>
        </w:rPr>
        <w:t xml:space="preserve">own </w:t>
      </w:r>
      <w:r>
        <w:rPr>
          <w:rFonts w:ascii="Arial" w:hAnsi="Arial" w:cs="Arial"/>
        </w:rPr>
        <w:t>homes following contact with our housing options services.</w:t>
      </w:r>
    </w:p>
    <w:p w:rsidRPr="00923610" w:rsidR="00923610" w:rsidP="00923610" w:rsidRDefault="00923610" w14:paraId="33992C89" w14:textId="77777777">
      <w:pPr>
        <w:pStyle w:val="ListParagraph"/>
        <w:rPr>
          <w:rFonts w:ascii="Arial" w:hAnsi="Arial" w:cs="Arial"/>
        </w:rPr>
      </w:pPr>
    </w:p>
    <w:p w:rsidR="00923610" w:rsidP="00616716" w:rsidRDefault="00923610" w14:paraId="164E494E" w14:textId="77777777">
      <w:pPr>
        <w:pStyle w:val="ListParagraph"/>
        <w:numPr>
          <w:ilvl w:val="0"/>
          <w:numId w:val="7"/>
        </w:numPr>
        <w:rPr>
          <w:rFonts w:ascii="Arial" w:hAnsi="Arial" w:cs="Arial"/>
        </w:rPr>
      </w:pPr>
      <w:r>
        <w:rPr>
          <w:rFonts w:ascii="Arial" w:hAnsi="Arial" w:cs="Arial"/>
        </w:rPr>
        <w:t xml:space="preserve">Seek to identify funding to deliver upstream homelessness </w:t>
      </w:r>
      <w:r w:rsidR="00B87557">
        <w:rPr>
          <w:rFonts w:ascii="Arial" w:hAnsi="Arial" w:cs="Arial"/>
        </w:rPr>
        <w:t>prevention in</w:t>
      </w:r>
      <w:r>
        <w:rPr>
          <w:rFonts w:ascii="Arial" w:hAnsi="Arial" w:cs="Arial"/>
        </w:rPr>
        <w:t xml:space="preserve"> places of education including wider family networks.</w:t>
      </w:r>
    </w:p>
    <w:p w:rsidR="007562C3" w:rsidP="007562C3" w:rsidRDefault="007562C3" w14:paraId="545EFE64" w14:textId="77777777">
      <w:pPr>
        <w:pStyle w:val="ListParagraph"/>
        <w:rPr>
          <w:rFonts w:ascii="Arial" w:hAnsi="Arial" w:cs="Arial"/>
        </w:rPr>
      </w:pPr>
    </w:p>
    <w:p w:rsidRPr="0059126B" w:rsidR="00202B8F" w:rsidP="00616716" w:rsidRDefault="006721C0" w14:paraId="5B521FFD" w14:textId="77777777">
      <w:pPr>
        <w:pStyle w:val="ListParagraph"/>
        <w:numPr>
          <w:ilvl w:val="0"/>
          <w:numId w:val="7"/>
        </w:numPr>
        <w:rPr>
          <w:rFonts w:ascii="Arial" w:hAnsi="Arial" w:cs="Arial"/>
        </w:rPr>
      </w:pPr>
      <w:r w:rsidRPr="0059126B">
        <w:rPr>
          <w:rFonts w:ascii="Arial" w:hAnsi="Arial" w:cs="Arial"/>
        </w:rPr>
        <w:t>Taking a person centred approach - w</w:t>
      </w:r>
      <w:r w:rsidRPr="0059126B" w:rsidR="00202B8F">
        <w:rPr>
          <w:rFonts w:ascii="Arial" w:hAnsi="Arial" w:cs="Arial"/>
        </w:rPr>
        <w:t>ork with our partners in the voluntary</w:t>
      </w:r>
      <w:r w:rsidRPr="0059126B" w:rsidR="007F43F9">
        <w:rPr>
          <w:rFonts w:ascii="Arial" w:hAnsi="Arial" w:cs="Arial"/>
        </w:rPr>
        <w:t xml:space="preserve"> and statutory</w:t>
      </w:r>
      <w:r w:rsidRPr="0059126B" w:rsidR="00202B8F">
        <w:rPr>
          <w:rFonts w:ascii="Arial" w:hAnsi="Arial" w:cs="Arial"/>
        </w:rPr>
        <w:t xml:space="preserve"> sector to ensure that we use our combined resources effectively to prevent homelessness (for example commissioning of services).</w:t>
      </w:r>
    </w:p>
    <w:p w:rsidR="00202B8F" w:rsidP="00202B8F" w:rsidRDefault="00202B8F" w14:paraId="78A208B2" w14:textId="77777777">
      <w:pPr>
        <w:pStyle w:val="ListParagraph"/>
        <w:rPr>
          <w:rFonts w:ascii="Arial" w:hAnsi="Arial" w:cs="Arial"/>
        </w:rPr>
      </w:pPr>
    </w:p>
    <w:p w:rsidR="00202B8F" w:rsidP="00616716" w:rsidRDefault="003024A5" w14:paraId="7B34820E" w14:textId="77777777">
      <w:pPr>
        <w:pStyle w:val="ListParagraph"/>
        <w:numPr>
          <w:ilvl w:val="0"/>
          <w:numId w:val="7"/>
        </w:numPr>
        <w:rPr>
          <w:rFonts w:ascii="Arial" w:hAnsi="Arial" w:cs="Arial"/>
        </w:rPr>
      </w:pPr>
      <w:r>
        <w:rPr>
          <w:rFonts w:ascii="Arial" w:hAnsi="Arial" w:cs="Arial"/>
        </w:rPr>
        <w:t>Identify gaps and celebrate success</w:t>
      </w:r>
      <w:r w:rsidR="00202B8F">
        <w:rPr>
          <w:rFonts w:ascii="Arial" w:hAnsi="Arial" w:cs="Arial"/>
        </w:rPr>
        <w:t xml:space="preserve"> in homelessness </w:t>
      </w:r>
      <w:r w:rsidR="00E65A31">
        <w:rPr>
          <w:rFonts w:ascii="Arial" w:hAnsi="Arial" w:cs="Arial"/>
        </w:rPr>
        <w:t>prevention with members of the Greater Norwich H</w:t>
      </w:r>
      <w:r w:rsidR="00202B8F">
        <w:rPr>
          <w:rFonts w:ascii="Arial" w:hAnsi="Arial" w:cs="Arial"/>
        </w:rPr>
        <w:t>omele</w:t>
      </w:r>
      <w:r w:rsidR="00E65A31">
        <w:rPr>
          <w:rFonts w:ascii="Arial" w:hAnsi="Arial" w:cs="Arial"/>
        </w:rPr>
        <w:t>ssness F</w:t>
      </w:r>
      <w:r w:rsidR="00202B8F">
        <w:rPr>
          <w:rFonts w:ascii="Arial" w:hAnsi="Arial" w:cs="Arial"/>
        </w:rPr>
        <w:t>orum</w:t>
      </w:r>
      <w:r>
        <w:rPr>
          <w:rFonts w:ascii="Arial" w:hAnsi="Arial" w:cs="Arial"/>
        </w:rPr>
        <w:t xml:space="preserve"> to inform </w:t>
      </w:r>
      <w:r w:rsidR="00E74394">
        <w:rPr>
          <w:rFonts w:ascii="Arial" w:hAnsi="Arial" w:cs="Arial"/>
        </w:rPr>
        <w:t xml:space="preserve">and improve </w:t>
      </w:r>
      <w:r>
        <w:rPr>
          <w:rFonts w:ascii="Arial" w:hAnsi="Arial" w:cs="Arial"/>
        </w:rPr>
        <w:t xml:space="preserve">service delivery across the </w:t>
      </w:r>
      <w:r w:rsidR="009732A2">
        <w:rPr>
          <w:rFonts w:ascii="Arial" w:hAnsi="Arial" w:cs="Arial"/>
        </w:rPr>
        <w:t xml:space="preserve">statutory and voluntary </w:t>
      </w:r>
      <w:r>
        <w:rPr>
          <w:rFonts w:ascii="Arial" w:hAnsi="Arial" w:cs="Arial"/>
        </w:rPr>
        <w:t>sector</w:t>
      </w:r>
      <w:r w:rsidR="00202B8F">
        <w:rPr>
          <w:rFonts w:ascii="Arial" w:hAnsi="Arial" w:cs="Arial"/>
        </w:rPr>
        <w:t>.</w:t>
      </w:r>
    </w:p>
    <w:p w:rsidRPr="00511485" w:rsidR="00511485" w:rsidP="00511485" w:rsidRDefault="00511485" w14:paraId="286E5AC8" w14:textId="77777777">
      <w:pPr>
        <w:pStyle w:val="ListParagraph"/>
        <w:rPr>
          <w:rFonts w:ascii="Arial" w:hAnsi="Arial" w:cs="Arial"/>
        </w:rPr>
      </w:pPr>
    </w:p>
    <w:p w:rsidRPr="00F06437" w:rsidR="00B87557" w:rsidP="00616716" w:rsidRDefault="00511485" w14:paraId="2C9D82B3" w14:textId="77777777">
      <w:pPr>
        <w:pStyle w:val="ListParagraph"/>
        <w:numPr>
          <w:ilvl w:val="0"/>
          <w:numId w:val="7"/>
        </w:numPr>
        <w:rPr>
          <w:rFonts w:ascii="Arial" w:hAnsi="Arial" w:cs="Arial"/>
        </w:rPr>
      </w:pPr>
      <w:r>
        <w:rPr>
          <w:rFonts w:ascii="Arial" w:hAnsi="Arial" w:cs="Arial"/>
        </w:rPr>
        <w:t>Identify shar</w:t>
      </w:r>
      <w:r w:rsidR="00A92735">
        <w:rPr>
          <w:rFonts w:ascii="Arial" w:hAnsi="Arial" w:cs="Arial"/>
        </w:rPr>
        <w:t>ed training opportunities with Greater Norwich Housing O</w:t>
      </w:r>
      <w:r>
        <w:rPr>
          <w:rFonts w:ascii="Arial" w:hAnsi="Arial" w:cs="Arial"/>
        </w:rPr>
        <w:t>ptions teams and other agencies.</w:t>
      </w:r>
    </w:p>
    <w:p w:rsidR="00425924" w:rsidP="00B87557" w:rsidRDefault="00425924" w14:paraId="31ABD0EA" w14:textId="77777777">
      <w:pPr>
        <w:pStyle w:val="ListParagraph"/>
        <w:rPr>
          <w:rFonts w:ascii="Arial" w:hAnsi="Arial" w:cs="Arial"/>
        </w:rPr>
      </w:pPr>
    </w:p>
    <w:p w:rsidRPr="00C869EA" w:rsidR="00B064B2" w:rsidP="00AE7885" w:rsidRDefault="00AE7885" w14:paraId="277A6A37" w14:textId="77777777">
      <w:pPr>
        <w:pStyle w:val="GNHS3"/>
      </w:pPr>
      <w:r>
        <w:t>6.3</w:t>
      </w:r>
      <w:r>
        <w:tab/>
      </w:r>
      <w:r w:rsidRPr="00C869EA" w:rsidR="00D5331E">
        <w:t>Priority T</w:t>
      </w:r>
      <w:r w:rsidRPr="00C869EA" w:rsidR="00B064B2">
        <w:t>hree</w:t>
      </w:r>
      <w:r w:rsidRPr="00C869EA" w:rsidR="00B75EEE">
        <w:t>:</w:t>
      </w:r>
      <w:r w:rsidRPr="00C869EA" w:rsidR="00933B18">
        <w:t xml:space="preserve"> </w:t>
      </w:r>
      <w:r w:rsidRPr="00C869EA" w:rsidR="00FC5136">
        <w:t>Single</w:t>
      </w:r>
      <w:r w:rsidRPr="00C869EA" w:rsidR="00F06437">
        <w:t xml:space="preserve"> and Y</w:t>
      </w:r>
      <w:r w:rsidRPr="00C869EA" w:rsidR="001D6B30">
        <w:t>outh</w:t>
      </w:r>
      <w:r w:rsidRPr="00C869EA" w:rsidR="00F06437">
        <w:t xml:space="preserve"> H</w:t>
      </w:r>
      <w:r w:rsidRPr="00C869EA" w:rsidR="00933B18">
        <w:t>omelessness</w:t>
      </w:r>
    </w:p>
    <w:p w:rsidR="00B75EEE" w:rsidP="00B75EEE" w:rsidRDefault="00B75EEE" w14:paraId="1E498537" w14:textId="77777777">
      <w:pPr>
        <w:rPr>
          <w:rFonts w:ascii="Arial" w:hAnsi="Arial" w:cs="Arial"/>
        </w:rPr>
      </w:pPr>
    </w:p>
    <w:p w:rsidRPr="002A42DD" w:rsidR="002A42DD" w:rsidP="00AE7885" w:rsidRDefault="00C675F2" w14:paraId="05886288" w14:textId="77777777">
      <w:pPr>
        <w:pStyle w:val="GNHS3"/>
      </w:pPr>
      <w:r>
        <w:t>6.</w:t>
      </w:r>
      <w:r w:rsidRPr="002A42DD" w:rsidR="002A42DD">
        <w:t xml:space="preserve">31 </w:t>
      </w:r>
      <w:r w:rsidR="003E1383">
        <w:tab/>
      </w:r>
      <w:r w:rsidRPr="002A42DD" w:rsidR="002A42DD">
        <w:t>Local Picture</w:t>
      </w:r>
    </w:p>
    <w:p w:rsidR="002A42DD" w:rsidP="00B75EEE" w:rsidRDefault="002A42DD" w14:paraId="5C389CD3" w14:textId="77777777">
      <w:pPr>
        <w:rPr>
          <w:rFonts w:ascii="Arial" w:hAnsi="Arial" w:cs="Arial"/>
        </w:rPr>
      </w:pPr>
    </w:p>
    <w:p w:rsidR="00B75EEE" w:rsidP="00B75EEE" w:rsidRDefault="00FC5136" w14:paraId="02E524F2" w14:textId="77777777">
      <w:pPr>
        <w:rPr>
          <w:rFonts w:ascii="Arial" w:hAnsi="Arial" w:cs="Arial"/>
        </w:rPr>
      </w:pPr>
      <w:r>
        <w:rPr>
          <w:rFonts w:ascii="Arial" w:hAnsi="Arial" w:cs="Arial"/>
        </w:rPr>
        <w:t>What we mean by single homelessness people in the context of this priority is predominantly people in the 1</w:t>
      </w:r>
      <w:r w:rsidR="00827E03">
        <w:rPr>
          <w:rFonts w:ascii="Arial" w:hAnsi="Arial" w:cs="Arial"/>
        </w:rPr>
        <w:t>6</w:t>
      </w:r>
      <w:r>
        <w:rPr>
          <w:rFonts w:ascii="Arial" w:hAnsi="Arial" w:cs="Arial"/>
        </w:rPr>
        <w:t xml:space="preserve">-35 year old age group. </w:t>
      </w:r>
      <w:r w:rsidR="009F5FBF">
        <w:rPr>
          <w:rFonts w:ascii="Arial" w:hAnsi="Arial" w:cs="Arial"/>
        </w:rPr>
        <w:t>Unfortunately, t</w:t>
      </w:r>
      <w:r w:rsidR="004D60D4">
        <w:rPr>
          <w:rFonts w:ascii="Arial" w:hAnsi="Arial" w:cs="Arial"/>
        </w:rPr>
        <w:t xml:space="preserve">oo many people </w:t>
      </w:r>
      <w:r>
        <w:rPr>
          <w:rFonts w:ascii="Arial" w:hAnsi="Arial" w:cs="Arial"/>
        </w:rPr>
        <w:t xml:space="preserve">in this group </w:t>
      </w:r>
      <w:r w:rsidR="004D60D4">
        <w:rPr>
          <w:rFonts w:ascii="Arial" w:hAnsi="Arial" w:cs="Arial"/>
        </w:rPr>
        <w:t>are threatened with</w:t>
      </w:r>
      <w:r w:rsidR="009F5FBF">
        <w:rPr>
          <w:rFonts w:ascii="Arial" w:hAnsi="Arial" w:cs="Arial"/>
        </w:rPr>
        <w:t>,</w:t>
      </w:r>
      <w:r w:rsidR="004D60D4">
        <w:rPr>
          <w:rFonts w:ascii="Arial" w:hAnsi="Arial" w:cs="Arial"/>
        </w:rPr>
        <w:t xml:space="preserve"> or become homeless in Greater Norwich</w:t>
      </w:r>
      <w:r w:rsidR="009F5FBF">
        <w:rPr>
          <w:rFonts w:ascii="Arial" w:hAnsi="Arial" w:cs="Arial"/>
        </w:rPr>
        <w:t xml:space="preserve">; </w:t>
      </w:r>
      <w:r w:rsidRPr="001E66BA" w:rsidR="001E66BA">
        <w:rPr>
          <w:rStyle w:val="FootnoteReference"/>
          <w:rFonts w:ascii="Arial" w:hAnsi="Arial" w:cs="Arial"/>
          <w:sz w:val="16"/>
          <w:szCs w:val="16"/>
        </w:rPr>
        <w:t xml:space="preserve"> </w:t>
      </w:r>
      <w:r w:rsidR="009F5FBF">
        <w:rPr>
          <w:rFonts w:ascii="Arial" w:hAnsi="Arial" w:cs="Arial"/>
        </w:rPr>
        <w:t>this is both a local and a national problem.</w:t>
      </w:r>
      <w:r w:rsidRPr="009F5FBF" w:rsidR="009F5FBF">
        <w:rPr>
          <w:rStyle w:val="FootnoteReference"/>
          <w:rFonts w:ascii="Arial" w:hAnsi="Arial" w:cs="Arial"/>
          <w:sz w:val="16"/>
          <w:szCs w:val="16"/>
        </w:rPr>
        <w:t xml:space="preserve"> </w:t>
      </w:r>
      <w:r w:rsidRPr="004D60D4" w:rsidR="009F5FBF">
        <w:rPr>
          <w:rStyle w:val="FootnoteReference"/>
          <w:rFonts w:ascii="Arial" w:hAnsi="Arial" w:cs="Arial"/>
          <w:sz w:val="16"/>
          <w:szCs w:val="16"/>
        </w:rPr>
        <w:footnoteReference w:id="17"/>
      </w:r>
      <w:r w:rsidRPr="004D60D4" w:rsidR="009F5FBF">
        <w:rPr>
          <w:rFonts w:ascii="Arial" w:hAnsi="Arial" w:cs="Arial"/>
          <w:sz w:val="16"/>
          <w:szCs w:val="16"/>
        </w:rPr>
        <w:t xml:space="preserve"> </w:t>
      </w:r>
      <w:r w:rsidRPr="004D60D4" w:rsidR="009F5FBF">
        <w:rPr>
          <w:rStyle w:val="FootnoteReference"/>
          <w:rFonts w:ascii="Arial" w:hAnsi="Arial" w:cs="Arial"/>
          <w:sz w:val="16"/>
          <w:szCs w:val="16"/>
        </w:rPr>
        <w:footnoteReference w:id="18"/>
      </w:r>
      <w:r w:rsidR="009F5FBF">
        <w:rPr>
          <w:rFonts w:ascii="Arial" w:hAnsi="Arial" w:cs="Arial"/>
        </w:rPr>
        <w:t xml:space="preserve"> </w:t>
      </w:r>
      <w:r w:rsidR="004D60D4">
        <w:rPr>
          <w:rFonts w:ascii="Arial" w:hAnsi="Arial" w:cs="Arial"/>
        </w:rPr>
        <w:t>Through our homelessness review we found that as a whole 55, 53 or 47% (BDC, NCC and SNC) of presentations in 2018/19 were from people in the 16 to 35 year old age group. As previously mentioned both Norwich and Broadland saw slightly higher levels of presentations from this group compare</w:t>
      </w:r>
      <w:r w:rsidR="00CD1FC1">
        <w:rPr>
          <w:rFonts w:ascii="Arial" w:hAnsi="Arial" w:cs="Arial"/>
        </w:rPr>
        <w:t>d to</w:t>
      </w:r>
      <w:r w:rsidR="006C3BC7">
        <w:rPr>
          <w:rFonts w:ascii="Arial" w:hAnsi="Arial" w:cs="Arial"/>
        </w:rPr>
        <w:t xml:space="preserve"> the</w:t>
      </w:r>
      <w:r w:rsidR="00CD1FC1">
        <w:rPr>
          <w:rFonts w:ascii="Arial" w:hAnsi="Arial" w:cs="Arial"/>
        </w:rPr>
        <w:t xml:space="preserve"> Eastern </w:t>
      </w:r>
      <w:r w:rsidR="004D60D4">
        <w:rPr>
          <w:rFonts w:ascii="Arial" w:hAnsi="Arial" w:cs="Arial"/>
        </w:rPr>
        <w:t>average of 52%; South Norfolk saw slightly lower levels.</w:t>
      </w:r>
      <w:r w:rsidR="00D52B28">
        <w:rPr>
          <w:rFonts w:ascii="Arial" w:hAnsi="Arial" w:cs="Arial"/>
        </w:rPr>
        <w:t xml:space="preserve"> As a proportion of the population this age group is disproportionately affected by homelessness than older people making up 19% (in BDC and SNC) and 36% </w:t>
      </w:r>
      <w:r w:rsidR="006C3BC7">
        <w:rPr>
          <w:rFonts w:ascii="Arial" w:hAnsi="Arial" w:cs="Arial"/>
        </w:rPr>
        <w:t xml:space="preserve">(NCC) </w:t>
      </w:r>
      <w:r w:rsidR="00D52B28">
        <w:rPr>
          <w:rFonts w:ascii="Arial" w:hAnsi="Arial" w:cs="Arial"/>
        </w:rPr>
        <w:t xml:space="preserve">of our </w:t>
      </w:r>
      <w:r w:rsidR="006C3BC7">
        <w:rPr>
          <w:rFonts w:ascii="Arial" w:hAnsi="Arial" w:cs="Arial"/>
        </w:rPr>
        <w:t xml:space="preserve">total </w:t>
      </w:r>
      <w:r w:rsidR="00D52B28">
        <w:rPr>
          <w:rFonts w:ascii="Arial" w:hAnsi="Arial" w:cs="Arial"/>
        </w:rPr>
        <w:t>population</w:t>
      </w:r>
      <w:r w:rsidR="006C3BC7">
        <w:rPr>
          <w:rFonts w:ascii="Arial" w:hAnsi="Arial" w:cs="Arial"/>
        </w:rPr>
        <w:t>s</w:t>
      </w:r>
      <w:r w:rsidR="00D52B28">
        <w:rPr>
          <w:rFonts w:ascii="Arial" w:hAnsi="Arial" w:cs="Arial"/>
        </w:rPr>
        <w:t>.</w:t>
      </w:r>
      <w:r w:rsidRPr="006C3BC7" w:rsidR="00016A96">
        <w:rPr>
          <w:rStyle w:val="FootnoteReference"/>
          <w:rFonts w:ascii="Arial" w:hAnsi="Arial" w:cs="Arial"/>
          <w:sz w:val="16"/>
          <w:szCs w:val="16"/>
        </w:rPr>
        <w:footnoteReference w:id="19"/>
      </w:r>
    </w:p>
    <w:p w:rsidR="004D60D4" w:rsidP="00B75EEE" w:rsidRDefault="004D60D4" w14:paraId="2BC706AC" w14:textId="77777777">
      <w:pPr>
        <w:rPr>
          <w:rFonts w:ascii="Arial" w:hAnsi="Arial" w:cs="Arial"/>
        </w:rPr>
      </w:pPr>
    </w:p>
    <w:p w:rsidR="004D60D4" w:rsidP="00B75EEE" w:rsidRDefault="00CD1FC1" w14:paraId="0D57B527" w14:textId="77777777">
      <w:pPr>
        <w:rPr>
          <w:rFonts w:ascii="Arial" w:hAnsi="Arial" w:cs="Arial"/>
        </w:rPr>
      </w:pPr>
      <w:r>
        <w:rPr>
          <w:rFonts w:ascii="Arial" w:hAnsi="Arial" w:cs="Arial"/>
        </w:rPr>
        <w:lastRenderedPageBreak/>
        <w:t>Recorded numbers of 16/17 year olds approaching the Greater</w:t>
      </w:r>
      <w:r w:rsidR="00D52B28">
        <w:rPr>
          <w:rFonts w:ascii="Arial" w:hAnsi="Arial" w:cs="Arial"/>
        </w:rPr>
        <w:t xml:space="preserve"> Norwich Councils are very</w:t>
      </w:r>
      <w:r>
        <w:rPr>
          <w:rFonts w:ascii="Arial" w:hAnsi="Arial" w:cs="Arial"/>
        </w:rPr>
        <w:t xml:space="preserve"> low</w:t>
      </w:r>
      <w:r w:rsidR="00D52B28">
        <w:rPr>
          <w:rFonts w:ascii="Arial" w:hAnsi="Arial" w:cs="Arial"/>
        </w:rPr>
        <w:t xml:space="preserve"> with only 5 individuals approaching for help during 2018/19.</w:t>
      </w:r>
    </w:p>
    <w:p w:rsidR="00D52B28" w:rsidP="00B75EEE" w:rsidRDefault="00D52B28" w14:paraId="78CD5A47" w14:textId="77777777">
      <w:pPr>
        <w:rPr>
          <w:rFonts w:ascii="Arial" w:hAnsi="Arial" w:cs="Arial"/>
        </w:rPr>
      </w:pPr>
    </w:p>
    <w:p w:rsidR="00D52B28" w:rsidP="00B75EEE" w:rsidRDefault="006C3BC7" w14:paraId="790D5013" w14:textId="77777777">
      <w:pPr>
        <w:rPr>
          <w:rFonts w:ascii="Arial" w:hAnsi="Arial" w:cs="Arial"/>
        </w:rPr>
      </w:pPr>
      <w:r>
        <w:rPr>
          <w:rFonts w:ascii="Arial" w:hAnsi="Arial" w:cs="Arial"/>
        </w:rPr>
        <w:t>Nationally over the last decade there has been an increase of nearly 700,000 of 20 – 34 year olds living with their parents (this is a 28% increase). The number of households headed by younger people has also fallen in the last decade; rates are 32% lower in London and the South East.</w:t>
      </w:r>
      <w:r w:rsidRPr="00E07351" w:rsidR="00E07351">
        <w:rPr>
          <w:rStyle w:val="FootnoteReference"/>
          <w:rFonts w:ascii="Arial" w:hAnsi="Arial" w:cs="Arial"/>
          <w:sz w:val="16"/>
          <w:szCs w:val="16"/>
        </w:rPr>
        <w:footnoteReference w:id="20"/>
      </w:r>
      <w:r w:rsidR="002374E3">
        <w:rPr>
          <w:rFonts w:ascii="Arial" w:hAnsi="Arial" w:cs="Arial"/>
        </w:rPr>
        <w:t xml:space="preserve"> This is reflected locally in the number of people who become homeless following family </w:t>
      </w:r>
      <w:r w:rsidR="00827E03">
        <w:rPr>
          <w:rFonts w:ascii="Arial" w:hAnsi="Arial" w:cs="Arial"/>
        </w:rPr>
        <w:t xml:space="preserve">or parental </w:t>
      </w:r>
      <w:r w:rsidR="002374E3">
        <w:rPr>
          <w:rFonts w:ascii="Arial" w:hAnsi="Arial" w:cs="Arial"/>
        </w:rPr>
        <w:t>eviction. All three local authorities in Greater Norwich recorded this accommodation situation (living with family) when they approached us for help</w:t>
      </w:r>
      <w:r w:rsidR="00A61E97">
        <w:rPr>
          <w:rFonts w:ascii="Arial" w:hAnsi="Arial" w:cs="Arial"/>
        </w:rPr>
        <w:t xml:space="preserve"> as one of the top three reasons for their homelessness</w:t>
      </w:r>
      <w:r w:rsidR="002374E3">
        <w:rPr>
          <w:rFonts w:ascii="Arial" w:hAnsi="Arial" w:cs="Arial"/>
        </w:rPr>
        <w:t>.</w:t>
      </w:r>
      <w:r w:rsidR="00E65A31">
        <w:rPr>
          <w:rFonts w:ascii="Arial" w:hAnsi="Arial" w:cs="Arial"/>
        </w:rPr>
        <w:t xml:space="preserve"> Locally,</w:t>
      </w:r>
      <w:r w:rsidR="00A735B0">
        <w:rPr>
          <w:rFonts w:ascii="Arial" w:hAnsi="Arial" w:cs="Arial"/>
        </w:rPr>
        <w:t xml:space="preserve"> </w:t>
      </w:r>
      <w:r w:rsidR="001D6B30">
        <w:rPr>
          <w:rFonts w:ascii="Arial" w:hAnsi="Arial" w:cs="Arial"/>
        </w:rPr>
        <w:t xml:space="preserve">specialist young person </w:t>
      </w:r>
      <w:r w:rsidR="00A735B0">
        <w:rPr>
          <w:rFonts w:ascii="Arial" w:hAnsi="Arial" w:cs="Arial"/>
        </w:rPr>
        <w:t>services l</w:t>
      </w:r>
      <w:r w:rsidR="00E65A31">
        <w:rPr>
          <w:rFonts w:ascii="Arial" w:hAnsi="Arial" w:cs="Arial"/>
        </w:rPr>
        <w:t>ike Mancroft Advice Project</w:t>
      </w:r>
      <w:r w:rsidR="00A735B0">
        <w:rPr>
          <w:rFonts w:ascii="Arial" w:hAnsi="Arial" w:cs="Arial"/>
        </w:rPr>
        <w:t xml:space="preserve"> have seen an increase</w:t>
      </w:r>
      <w:r w:rsidR="00315019">
        <w:rPr>
          <w:rFonts w:ascii="Arial" w:hAnsi="Arial" w:cs="Arial"/>
        </w:rPr>
        <w:t xml:space="preserve"> of 23% from 2016 to 2018</w:t>
      </w:r>
      <w:r w:rsidR="00A735B0">
        <w:rPr>
          <w:rFonts w:ascii="Arial" w:hAnsi="Arial" w:cs="Arial"/>
        </w:rPr>
        <w:t xml:space="preserve"> in the number of young people accessing their young person housing advice service over the past three years</w:t>
      </w:r>
      <w:r w:rsidR="00315019">
        <w:rPr>
          <w:rFonts w:ascii="Arial" w:hAnsi="Arial" w:cs="Arial"/>
        </w:rPr>
        <w:t>.</w:t>
      </w:r>
      <w:r w:rsidRPr="001D6B30" w:rsidR="00315019">
        <w:rPr>
          <w:rStyle w:val="FootnoteReference"/>
          <w:rFonts w:ascii="Arial" w:hAnsi="Arial" w:cs="Arial"/>
          <w:sz w:val="16"/>
          <w:szCs w:val="16"/>
        </w:rPr>
        <w:footnoteReference w:id="21"/>
      </w:r>
      <w:r w:rsidR="00315019">
        <w:rPr>
          <w:rFonts w:ascii="Arial" w:hAnsi="Arial" w:cs="Arial"/>
        </w:rPr>
        <w:t xml:space="preserve"> The main reasons for seeking advice were:</w:t>
      </w:r>
    </w:p>
    <w:p w:rsidRPr="00315019" w:rsidR="00315019" w:rsidP="00616716" w:rsidRDefault="00315019" w14:paraId="0EC5D387" w14:textId="77777777">
      <w:pPr>
        <w:pStyle w:val="ListParagraph"/>
        <w:numPr>
          <w:ilvl w:val="0"/>
          <w:numId w:val="15"/>
        </w:numPr>
        <w:rPr>
          <w:rFonts w:ascii="Arial" w:hAnsi="Arial" w:cs="Arial"/>
        </w:rPr>
      </w:pPr>
      <w:r w:rsidRPr="00315019">
        <w:rPr>
          <w:rFonts w:ascii="Arial" w:hAnsi="Arial" w:cs="Arial"/>
        </w:rPr>
        <w:t xml:space="preserve">Housing options </w:t>
      </w:r>
    </w:p>
    <w:p w:rsidRPr="00315019" w:rsidR="00315019" w:rsidP="00616716" w:rsidRDefault="00315019" w14:paraId="5650A7CD" w14:textId="77777777">
      <w:pPr>
        <w:pStyle w:val="ListParagraph"/>
        <w:numPr>
          <w:ilvl w:val="0"/>
          <w:numId w:val="15"/>
        </w:numPr>
        <w:rPr>
          <w:rFonts w:ascii="Arial" w:hAnsi="Arial" w:cs="Arial"/>
        </w:rPr>
      </w:pPr>
      <w:r w:rsidRPr="00315019">
        <w:rPr>
          <w:rFonts w:ascii="Arial" w:hAnsi="Arial" w:cs="Arial"/>
        </w:rPr>
        <w:t>Obtaining hostel accommodation</w:t>
      </w:r>
    </w:p>
    <w:p w:rsidRPr="00315019" w:rsidR="00315019" w:rsidP="00616716" w:rsidRDefault="00315019" w14:paraId="6F42416E" w14:textId="77777777">
      <w:pPr>
        <w:pStyle w:val="ListParagraph"/>
        <w:numPr>
          <w:ilvl w:val="0"/>
          <w:numId w:val="15"/>
        </w:numPr>
        <w:rPr>
          <w:rFonts w:ascii="Arial" w:hAnsi="Arial" w:cs="Arial"/>
        </w:rPr>
      </w:pPr>
      <w:r w:rsidRPr="00315019">
        <w:rPr>
          <w:rFonts w:ascii="Arial" w:hAnsi="Arial" w:cs="Arial"/>
        </w:rPr>
        <w:t>Applying as homeless</w:t>
      </w:r>
    </w:p>
    <w:p w:rsidR="00315019" w:rsidP="00B75EEE" w:rsidRDefault="00315019" w14:paraId="5BD5109F" w14:textId="77777777">
      <w:pPr>
        <w:rPr>
          <w:rFonts w:ascii="Arial" w:hAnsi="Arial" w:cs="Arial"/>
        </w:rPr>
      </w:pPr>
    </w:p>
    <w:p w:rsidRPr="002A42DD" w:rsidR="002A42DD" w:rsidP="00AE7885" w:rsidRDefault="00C675F2" w14:paraId="17EB80C0" w14:textId="77777777">
      <w:pPr>
        <w:pStyle w:val="GNHS3"/>
      </w:pPr>
      <w:r>
        <w:t>6</w:t>
      </w:r>
      <w:r w:rsidRPr="002A42DD" w:rsidR="002A42DD">
        <w:t>.32</w:t>
      </w:r>
      <w:r w:rsidRPr="002A42DD" w:rsidR="002A42DD">
        <w:tab/>
        <w:t>Engagement with Young People and External Partners</w:t>
      </w:r>
    </w:p>
    <w:p w:rsidR="002A42DD" w:rsidP="00B75EEE" w:rsidRDefault="002A42DD" w14:paraId="40B70930" w14:textId="77777777">
      <w:pPr>
        <w:rPr>
          <w:rFonts w:ascii="Arial" w:hAnsi="Arial" w:cs="Arial"/>
        </w:rPr>
      </w:pPr>
    </w:p>
    <w:p w:rsidR="002A42DD" w:rsidP="00B75EEE" w:rsidRDefault="001E66BA" w14:paraId="48E83C32" w14:textId="77777777">
      <w:pPr>
        <w:rPr>
          <w:rFonts w:ascii="Arial" w:hAnsi="Arial" w:cs="Arial"/>
        </w:rPr>
      </w:pPr>
      <w:r>
        <w:rPr>
          <w:rFonts w:ascii="Arial" w:hAnsi="Arial" w:cs="Arial"/>
        </w:rPr>
        <w:t xml:space="preserve">As part of preparation for this </w:t>
      </w:r>
      <w:r w:rsidR="00A61E97">
        <w:rPr>
          <w:rFonts w:ascii="Arial" w:hAnsi="Arial" w:cs="Arial"/>
        </w:rPr>
        <w:t>strategy,</w:t>
      </w:r>
      <w:r>
        <w:rPr>
          <w:rFonts w:ascii="Arial" w:hAnsi="Arial" w:cs="Arial"/>
        </w:rPr>
        <w:t xml:space="preserve"> we consulted statutory, voluntary sector partners </w:t>
      </w:r>
      <w:r w:rsidR="00A61E97">
        <w:rPr>
          <w:rFonts w:ascii="Arial" w:hAnsi="Arial" w:cs="Arial"/>
        </w:rPr>
        <w:t xml:space="preserve">and young people </w:t>
      </w:r>
      <w:r>
        <w:rPr>
          <w:rFonts w:ascii="Arial" w:hAnsi="Arial" w:cs="Arial"/>
        </w:rPr>
        <w:t>to ask them what they thought the priorities where for youn</w:t>
      </w:r>
      <w:r w:rsidR="00AE5FF3">
        <w:rPr>
          <w:rFonts w:ascii="Arial" w:hAnsi="Arial" w:cs="Arial"/>
        </w:rPr>
        <w:t>g people. These are a</w:t>
      </w:r>
      <w:r w:rsidR="00A61E97">
        <w:rPr>
          <w:rFonts w:ascii="Arial" w:hAnsi="Arial" w:cs="Arial"/>
        </w:rPr>
        <w:t xml:space="preserve"> selec</w:t>
      </w:r>
      <w:r w:rsidR="00E65A31">
        <w:rPr>
          <w:rFonts w:ascii="Arial" w:hAnsi="Arial" w:cs="Arial"/>
        </w:rPr>
        <w:t>tion of what they thought at a Greater Norwich Homelessness F</w:t>
      </w:r>
      <w:r w:rsidR="00A61E97">
        <w:rPr>
          <w:rFonts w:ascii="Arial" w:hAnsi="Arial" w:cs="Arial"/>
        </w:rPr>
        <w:t>orum in December 2018 and January 2019:</w:t>
      </w:r>
    </w:p>
    <w:p w:rsidR="00F916D3" w:rsidP="00B75EEE" w:rsidRDefault="00F916D3" w14:paraId="105A2821" w14:textId="77777777">
      <w:pPr>
        <w:rPr>
          <w:rFonts w:ascii="Arial" w:hAnsi="Arial" w:cs="Arial"/>
        </w:rPr>
      </w:pPr>
    </w:p>
    <w:tbl>
      <w:tblPr>
        <w:tblStyle w:val="TableGrid"/>
        <w:tblW w:w="9067" w:type="dxa"/>
        <w:tblLook w:val="04A0" w:firstRow="1" w:lastRow="0" w:firstColumn="1" w:lastColumn="0" w:noHBand="0" w:noVBand="1"/>
        <w:tblCaption w:val="Homelessness issues for young people"/>
        <w:tblDescription w:val="Table showing breakdown of comments from workshop discussing homelessness issues for young people"/>
      </w:tblPr>
      <w:tblGrid>
        <w:gridCol w:w="4148"/>
        <w:gridCol w:w="4919"/>
      </w:tblGrid>
      <w:tr w:rsidR="00A61E97" w:rsidTr="007A2718" w14:paraId="0248F2C7" w14:textId="77777777">
        <w:trPr>
          <w:cantSplit/>
          <w:tblHeader/>
        </w:trPr>
        <w:tc>
          <w:tcPr>
            <w:tcW w:w="4148" w:type="dxa"/>
            <w:shd w:val="clear" w:color="auto" w:fill="BFBFBF" w:themeFill="background1" w:themeFillShade="BF"/>
          </w:tcPr>
          <w:p w:rsidRPr="00A61E97" w:rsidR="00A61E97" w:rsidP="00B75EEE" w:rsidRDefault="00A61E97" w14:paraId="6DC224EB" w14:textId="77777777">
            <w:pPr>
              <w:rPr>
                <w:rFonts w:ascii="Arial" w:hAnsi="Arial" w:cs="Arial"/>
                <w:b/>
              </w:rPr>
            </w:pPr>
            <w:r w:rsidRPr="00A61E97">
              <w:rPr>
                <w:rFonts w:ascii="Arial" w:hAnsi="Arial" w:cs="Arial"/>
                <w:b/>
              </w:rPr>
              <w:t>Issue</w:t>
            </w:r>
          </w:p>
        </w:tc>
        <w:tc>
          <w:tcPr>
            <w:tcW w:w="4919" w:type="dxa"/>
            <w:shd w:val="clear" w:color="auto" w:fill="BFBFBF" w:themeFill="background1" w:themeFillShade="BF"/>
          </w:tcPr>
          <w:p w:rsidRPr="00A61E97" w:rsidR="00A61E97" w:rsidP="00B75EEE" w:rsidRDefault="00A61E97" w14:paraId="4C0F4EA5" w14:textId="77777777">
            <w:pPr>
              <w:rPr>
                <w:rFonts w:ascii="Arial" w:hAnsi="Arial" w:cs="Arial"/>
                <w:b/>
              </w:rPr>
            </w:pPr>
            <w:r w:rsidRPr="00A61E97">
              <w:rPr>
                <w:rFonts w:ascii="Arial" w:hAnsi="Arial" w:cs="Arial"/>
                <w:b/>
              </w:rPr>
              <w:t>Comments</w:t>
            </w:r>
          </w:p>
        </w:tc>
      </w:tr>
      <w:tr w:rsidR="00A61E97" w:rsidTr="007A2718" w14:paraId="62DE7C50" w14:textId="77777777">
        <w:trPr>
          <w:cantSplit/>
          <w:tblHeader/>
        </w:trPr>
        <w:tc>
          <w:tcPr>
            <w:tcW w:w="4148" w:type="dxa"/>
          </w:tcPr>
          <w:p w:rsidR="00A61E97" w:rsidP="002A42DD" w:rsidRDefault="00A61E97" w14:paraId="43965FCF" w14:textId="77777777">
            <w:pPr>
              <w:rPr>
                <w:rFonts w:ascii="Arial" w:hAnsi="Arial" w:cs="Arial"/>
              </w:rPr>
            </w:pPr>
            <w:r>
              <w:rPr>
                <w:rFonts w:ascii="Arial" w:hAnsi="Arial" w:cs="Arial"/>
              </w:rPr>
              <w:t>Care leavers and transition</w:t>
            </w:r>
            <w:r w:rsidR="00081087">
              <w:rPr>
                <w:rFonts w:ascii="Arial" w:hAnsi="Arial" w:cs="Arial"/>
              </w:rPr>
              <w:t>ing</w:t>
            </w:r>
            <w:r>
              <w:rPr>
                <w:rFonts w:ascii="Arial" w:hAnsi="Arial" w:cs="Arial"/>
              </w:rPr>
              <w:t xml:space="preserve"> to adulthood</w:t>
            </w:r>
          </w:p>
        </w:tc>
        <w:tc>
          <w:tcPr>
            <w:tcW w:w="4919" w:type="dxa"/>
          </w:tcPr>
          <w:p w:rsidRPr="00A61E97" w:rsidR="00A61E97" w:rsidP="00616716" w:rsidRDefault="00A61E97" w14:paraId="7AE665C9" w14:textId="77777777">
            <w:pPr>
              <w:pStyle w:val="ListParagraph"/>
              <w:numPr>
                <w:ilvl w:val="0"/>
                <w:numId w:val="12"/>
              </w:numPr>
              <w:ind w:left="0" w:hanging="357"/>
              <w:rPr>
                <w:rFonts w:ascii="Arial" w:hAnsi="Arial" w:cs="Arial"/>
              </w:rPr>
            </w:pPr>
            <w:r w:rsidRPr="00A61E97">
              <w:rPr>
                <w:rFonts w:ascii="Arial" w:hAnsi="Arial" w:cs="Arial"/>
              </w:rPr>
              <w:t>Improve variety of options to meet different needs</w:t>
            </w:r>
          </w:p>
          <w:p w:rsidRPr="00081087" w:rsidR="00081087" w:rsidP="00081087" w:rsidRDefault="00A61E97" w14:paraId="73DBBBD7" w14:textId="77777777">
            <w:pPr>
              <w:rPr>
                <w:rFonts w:ascii="Arial" w:hAnsi="Arial" w:cs="Arial"/>
              </w:rPr>
            </w:pPr>
            <w:r w:rsidRPr="00081087">
              <w:rPr>
                <w:rFonts w:ascii="Arial" w:hAnsi="Arial" w:cs="Arial"/>
              </w:rPr>
              <w:t>Main</w:t>
            </w:r>
            <w:r w:rsidRPr="00081087" w:rsidR="00081087">
              <w:rPr>
                <w:rFonts w:ascii="Arial" w:hAnsi="Arial" w:cs="Arial"/>
              </w:rPr>
              <w:t>tain Joint Protocol to Address the Needs of Homeless Young People in Norfolk</w:t>
            </w:r>
          </w:p>
          <w:p w:rsidRPr="00935BDC" w:rsidR="008B5526" w:rsidP="00616716" w:rsidRDefault="00A61E97" w14:paraId="4FC20FA1" w14:textId="77777777">
            <w:pPr>
              <w:pStyle w:val="ListParagraph"/>
              <w:numPr>
                <w:ilvl w:val="0"/>
                <w:numId w:val="12"/>
              </w:numPr>
              <w:ind w:left="0" w:hanging="357"/>
              <w:rPr>
                <w:rFonts w:ascii="Arial" w:hAnsi="Arial" w:cs="Arial"/>
              </w:rPr>
            </w:pPr>
            <w:r w:rsidRPr="00081087">
              <w:rPr>
                <w:rFonts w:ascii="Arial" w:hAnsi="Arial" w:cs="Arial"/>
              </w:rPr>
              <w:t>Use Personalised Housing Plans (PHPs), include goals and a “plan b” with other options e.g. crisis/respite even when in current accommodation.</w:t>
            </w:r>
          </w:p>
        </w:tc>
      </w:tr>
      <w:tr w:rsidR="00A61E97" w:rsidTr="007A2718" w14:paraId="38109E13" w14:textId="77777777">
        <w:trPr>
          <w:cantSplit/>
          <w:tblHeader/>
        </w:trPr>
        <w:tc>
          <w:tcPr>
            <w:tcW w:w="4148" w:type="dxa"/>
          </w:tcPr>
          <w:p w:rsidR="00A61E97" w:rsidP="002A42DD" w:rsidRDefault="00A61E97" w14:paraId="0C53E753" w14:textId="77777777">
            <w:pPr>
              <w:rPr>
                <w:rFonts w:ascii="Arial" w:hAnsi="Arial" w:cs="Arial"/>
              </w:rPr>
            </w:pPr>
            <w:r>
              <w:rPr>
                <w:rFonts w:ascii="Arial" w:hAnsi="Arial" w:cs="Arial"/>
              </w:rPr>
              <w:t>Preventative work</w:t>
            </w:r>
          </w:p>
        </w:tc>
        <w:tc>
          <w:tcPr>
            <w:tcW w:w="4919" w:type="dxa"/>
          </w:tcPr>
          <w:p w:rsidR="00A61E97" w:rsidP="00616716" w:rsidRDefault="00A61E97" w14:paraId="09DE21F7" w14:textId="77777777">
            <w:pPr>
              <w:pStyle w:val="ListParagraph"/>
              <w:numPr>
                <w:ilvl w:val="0"/>
                <w:numId w:val="12"/>
              </w:numPr>
              <w:ind w:left="0"/>
              <w:rPr>
                <w:rFonts w:ascii="Arial" w:hAnsi="Arial" w:cs="Arial"/>
              </w:rPr>
            </w:pPr>
            <w:r>
              <w:rPr>
                <w:rFonts w:ascii="Arial" w:hAnsi="Arial" w:cs="Arial"/>
              </w:rPr>
              <w:t>18 plus young people should need support (include housing advice and budgeting) and this should be default offer.</w:t>
            </w:r>
          </w:p>
          <w:p w:rsidRPr="00935BDC" w:rsidR="008B5526" w:rsidP="00616716" w:rsidRDefault="00A61E97" w14:paraId="29C9A6CC" w14:textId="77777777">
            <w:pPr>
              <w:pStyle w:val="ListParagraph"/>
              <w:numPr>
                <w:ilvl w:val="0"/>
                <w:numId w:val="12"/>
              </w:numPr>
              <w:ind w:left="0"/>
              <w:rPr>
                <w:rFonts w:ascii="Arial" w:hAnsi="Arial" w:cs="Arial"/>
              </w:rPr>
            </w:pPr>
            <w:r>
              <w:rPr>
                <w:rFonts w:ascii="Arial" w:hAnsi="Arial" w:cs="Arial"/>
              </w:rPr>
              <w:t>Proactive work with schools should be considered and other agencies.</w:t>
            </w:r>
          </w:p>
        </w:tc>
      </w:tr>
      <w:tr w:rsidR="00A61E97" w:rsidTr="007A2718" w14:paraId="7EF6CDC3" w14:textId="77777777">
        <w:trPr>
          <w:cantSplit/>
          <w:tblHeader/>
        </w:trPr>
        <w:tc>
          <w:tcPr>
            <w:tcW w:w="4148" w:type="dxa"/>
          </w:tcPr>
          <w:p w:rsidR="00A61E97" w:rsidP="002A42DD" w:rsidRDefault="00A61E97" w14:paraId="708D210E" w14:textId="77777777">
            <w:pPr>
              <w:rPr>
                <w:rFonts w:ascii="Arial" w:hAnsi="Arial" w:cs="Arial"/>
              </w:rPr>
            </w:pPr>
            <w:r>
              <w:rPr>
                <w:rFonts w:ascii="Arial" w:hAnsi="Arial" w:cs="Arial"/>
              </w:rPr>
              <w:t>Partnership working</w:t>
            </w:r>
          </w:p>
        </w:tc>
        <w:tc>
          <w:tcPr>
            <w:tcW w:w="4919" w:type="dxa"/>
          </w:tcPr>
          <w:p w:rsidR="00A61E97" w:rsidP="00616716" w:rsidRDefault="00A61E97" w14:paraId="713A1456" w14:textId="77777777">
            <w:pPr>
              <w:pStyle w:val="ListParagraph"/>
              <w:numPr>
                <w:ilvl w:val="0"/>
                <w:numId w:val="12"/>
              </w:numPr>
              <w:ind w:left="0"/>
              <w:rPr>
                <w:rFonts w:ascii="Arial" w:hAnsi="Arial" w:cs="Arial"/>
              </w:rPr>
            </w:pPr>
            <w:r>
              <w:rPr>
                <w:rFonts w:ascii="Arial" w:hAnsi="Arial" w:cs="Arial"/>
              </w:rPr>
              <w:t>Better connection between districts and Children Services needed</w:t>
            </w:r>
          </w:p>
          <w:p w:rsidRPr="00935BDC" w:rsidR="008B5526" w:rsidP="00616716" w:rsidRDefault="00A61E97" w14:paraId="5C2B29FE" w14:textId="77777777">
            <w:pPr>
              <w:pStyle w:val="ListParagraph"/>
              <w:numPr>
                <w:ilvl w:val="0"/>
                <w:numId w:val="12"/>
              </w:numPr>
              <w:ind w:left="0"/>
              <w:rPr>
                <w:rFonts w:ascii="Arial" w:hAnsi="Arial" w:cs="Arial"/>
              </w:rPr>
            </w:pPr>
            <w:r>
              <w:rPr>
                <w:rFonts w:ascii="Arial" w:hAnsi="Arial" w:cs="Arial"/>
              </w:rPr>
              <w:t>21-25 year olds not engaging with Children Services or Adult Social Care. Should be better signposting for support.</w:t>
            </w:r>
          </w:p>
        </w:tc>
      </w:tr>
    </w:tbl>
    <w:p w:rsidRPr="002A42DD" w:rsidR="002A42DD" w:rsidP="002A42DD" w:rsidRDefault="002A42DD" w14:paraId="5D409F89" w14:textId="77777777">
      <w:pPr>
        <w:rPr>
          <w:rFonts w:ascii="Arial" w:hAnsi="Arial" w:cs="Arial"/>
          <w:sz w:val="16"/>
          <w:szCs w:val="16"/>
        </w:rPr>
      </w:pPr>
      <w:r w:rsidRPr="002A42DD">
        <w:rPr>
          <w:rFonts w:ascii="Arial" w:hAnsi="Arial" w:cs="Arial"/>
          <w:sz w:val="16"/>
          <w:szCs w:val="16"/>
        </w:rPr>
        <w:lastRenderedPageBreak/>
        <w:t>Table 14</w:t>
      </w:r>
    </w:p>
    <w:p w:rsidR="00A61E97" w:rsidP="00B75EEE" w:rsidRDefault="00A61E97" w14:paraId="1335219D" w14:textId="77777777">
      <w:pPr>
        <w:rPr>
          <w:rFonts w:ascii="Arial" w:hAnsi="Arial" w:cs="Arial"/>
        </w:rPr>
      </w:pPr>
    </w:p>
    <w:p w:rsidR="00BA4363" w:rsidP="00B75EEE" w:rsidRDefault="00BA4363" w14:paraId="78574B83" w14:textId="77777777">
      <w:pPr>
        <w:rPr>
          <w:rFonts w:ascii="Arial" w:hAnsi="Arial" w:cs="Arial"/>
        </w:rPr>
      </w:pPr>
      <w:r>
        <w:rPr>
          <w:rFonts w:ascii="Arial" w:hAnsi="Arial" w:cs="Arial"/>
        </w:rPr>
        <w:t>We also sp</w:t>
      </w:r>
      <w:r w:rsidR="00E65A31">
        <w:rPr>
          <w:rFonts w:ascii="Arial" w:hAnsi="Arial" w:cs="Arial"/>
        </w:rPr>
        <w:t>oke to young people</w:t>
      </w:r>
      <w:r>
        <w:rPr>
          <w:rFonts w:ascii="Arial" w:hAnsi="Arial" w:cs="Arial"/>
        </w:rPr>
        <w:t xml:space="preserve"> who had experienced homelessness and members of the Youth Advisory Board around what their views were around homelessness. We used the St Basils Positive Pathway Framework model to </w:t>
      </w:r>
      <w:r w:rsidR="006B3E15">
        <w:rPr>
          <w:rFonts w:ascii="Arial" w:hAnsi="Arial" w:cs="Arial"/>
        </w:rPr>
        <w:t>develop</w:t>
      </w:r>
      <w:r>
        <w:rPr>
          <w:rFonts w:ascii="Arial" w:hAnsi="Arial" w:cs="Arial"/>
        </w:rPr>
        <w:t xml:space="preserve"> their thoughts and suggestions. A sample of their responses are as follows</w:t>
      </w:r>
      <w:r>
        <w:rPr>
          <w:rFonts w:ascii="Arial" w:hAnsi="Arial" w:cs="Arial"/>
          <w:sz w:val="16"/>
          <w:szCs w:val="16"/>
        </w:rPr>
        <w:t>.</w:t>
      </w:r>
      <w:r w:rsidRPr="00BA4363">
        <w:rPr>
          <w:rStyle w:val="FootnoteReference"/>
          <w:rFonts w:ascii="Arial" w:hAnsi="Arial" w:cs="Arial"/>
          <w:sz w:val="16"/>
          <w:szCs w:val="16"/>
        </w:rPr>
        <w:footnoteReference w:id="22"/>
      </w:r>
    </w:p>
    <w:p w:rsidR="00AE5FF3" w:rsidP="00B75EEE" w:rsidRDefault="00AE5FF3" w14:paraId="47F8EBBB" w14:textId="77777777">
      <w:pPr>
        <w:rPr>
          <w:rFonts w:ascii="Arial" w:hAnsi="Arial" w:cs="Arial"/>
        </w:rPr>
      </w:pPr>
    </w:p>
    <w:tbl>
      <w:tblPr>
        <w:tblStyle w:val="TableGrid"/>
        <w:tblW w:w="9072" w:type="dxa"/>
        <w:tblInd w:w="-5" w:type="dxa"/>
        <w:tblLook w:val="04A0" w:firstRow="1" w:lastRow="0" w:firstColumn="1" w:lastColumn="0" w:noHBand="0" w:noVBand="1"/>
        <w:tblCaption w:val="Young people's thoughts on resolving homelessness"/>
        <w:tblDescription w:val="Table showing thoughts of young people to help prevent homelessness for young people in the future."/>
      </w:tblPr>
      <w:tblGrid>
        <w:gridCol w:w="4153"/>
        <w:gridCol w:w="4919"/>
      </w:tblGrid>
      <w:tr w:rsidR="006B3E15" w:rsidTr="007A2718" w14:paraId="48C55F0F" w14:textId="77777777">
        <w:trPr>
          <w:cantSplit/>
          <w:tblHeader/>
        </w:trPr>
        <w:tc>
          <w:tcPr>
            <w:tcW w:w="4153" w:type="dxa"/>
            <w:shd w:val="clear" w:color="auto" w:fill="BFBFBF" w:themeFill="background1" w:themeFillShade="BF"/>
          </w:tcPr>
          <w:p w:rsidRPr="006B3E15" w:rsidR="006B3E15" w:rsidP="00B75EEE" w:rsidRDefault="006B3E15" w14:paraId="33784A9D" w14:textId="77777777">
            <w:pPr>
              <w:rPr>
                <w:rFonts w:ascii="Arial" w:hAnsi="Arial" w:cs="Arial"/>
                <w:b/>
              </w:rPr>
            </w:pPr>
            <w:r w:rsidRPr="006B3E15">
              <w:rPr>
                <w:rFonts w:ascii="Arial" w:hAnsi="Arial" w:cs="Arial"/>
                <w:b/>
              </w:rPr>
              <w:t>Subject</w:t>
            </w:r>
          </w:p>
        </w:tc>
        <w:tc>
          <w:tcPr>
            <w:tcW w:w="4919" w:type="dxa"/>
            <w:shd w:val="clear" w:color="auto" w:fill="BFBFBF" w:themeFill="background1" w:themeFillShade="BF"/>
          </w:tcPr>
          <w:p w:rsidRPr="006B3E15" w:rsidR="006B3E15" w:rsidP="00B75EEE" w:rsidRDefault="006B3E15" w14:paraId="28D32F2B" w14:textId="77777777">
            <w:pPr>
              <w:rPr>
                <w:rFonts w:ascii="Arial" w:hAnsi="Arial" w:cs="Arial"/>
                <w:b/>
              </w:rPr>
            </w:pPr>
            <w:r w:rsidRPr="006B3E15">
              <w:rPr>
                <w:rFonts w:ascii="Arial" w:hAnsi="Arial" w:cs="Arial"/>
                <w:b/>
              </w:rPr>
              <w:t>Comments</w:t>
            </w:r>
          </w:p>
        </w:tc>
      </w:tr>
      <w:tr w:rsidR="006B3E15" w:rsidTr="007A2718" w14:paraId="17D002E1" w14:textId="77777777">
        <w:trPr>
          <w:cantSplit/>
        </w:trPr>
        <w:tc>
          <w:tcPr>
            <w:tcW w:w="4153" w:type="dxa"/>
            <w:shd w:val="clear" w:color="auto" w:fill="auto"/>
          </w:tcPr>
          <w:p w:rsidRPr="00371263" w:rsidR="006B3E15" w:rsidP="00616716" w:rsidRDefault="006B3E15" w14:paraId="56DCA581" w14:textId="77777777">
            <w:pPr>
              <w:pStyle w:val="ListParagraph"/>
              <w:numPr>
                <w:ilvl w:val="0"/>
                <w:numId w:val="13"/>
              </w:numPr>
              <w:ind w:left="357" w:hanging="357"/>
              <w:rPr>
                <w:rFonts w:ascii="Arial" w:hAnsi="Arial" w:cs="Arial"/>
              </w:rPr>
            </w:pPr>
            <w:r w:rsidRPr="00371263">
              <w:rPr>
                <w:rFonts w:ascii="Arial" w:hAnsi="Arial" w:cs="Arial"/>
              </w:rPr>
              <w:t xml:space="preserve">Intervention at earliest </w:t>
            </w:r>
            <w:r>
              <w:rPr>
                <w:rFonts w:ascii="Arial" w:hAnsi="Arial" w:cs="Arial"/>
              </w:rPr>
              <w:t>o</w:t>
            </w:r>
            <w:r w:rsidRPr="00371263">
              <w:rPr>
                <w:rFonts w:ascii="Arial" w:hAnsi="Arial" w:cs="Arial"/>
              </w:rPr>
              <w:t xml:space="preserve">pportunity to stop youth homelessness </w:t>
            </w:r>
          </w:p>
          <w:p w:rsidRPr="006B3E15" w:rsidR="006B3E15" w:rsidP="00B75EEE" w:rsidRDefault="006B3E15" w14:paraId="69C624A5" w14:textId="77777777">
            <w:pPr>
              <w:rPr>
                <w:rFonts w:ascii="Arial" w:hAnsi="Arial" w:cs="Arial"/>
                <w:b/>
              </w:rPr>
            </w:pPr>
          </w:p>
        </w:tc>
        <w:tc>
          <w:tcPr>
            <w:tcW w:w="4919" w:type="dxa"/>
            <w:shd w:val="clear" w:color="auto" w:fill="auto"/>
          </w:tcPr>
          <w:p w:rsidR="006B3E15" w:rsidP="002A42DD" w:rsidRDefault="006B3E15" w14:paraId="7178C586" w14:textId="77777777">
            <w:pPr>
              <w:rPr>
                <w:rFonts w:ascii="Arial" w:hAnsi="Arial" w:cs="Arial"/>
              </w:rPr>
            </w:pPr>
            <w:r w:rsidRPr="006B3E15">
              <w:rPr>
                <w:rFonts w:ascii="Arial" w:hAnsi="Arial" w:cs="Arial"/>
              </w:rPr>
              <w:t xml:space="preserve">Mandatory education in school that demonstrates key home management and tenancy skills. This should include finance management, taxes and welfare support, where to go for housing support and what to do in housing emergencies. </w:t>
            </w:r>
          </w:p>
          <w:p w:rsidR="006B3E15" w:rsidP="002A42DD" w:rsidRDefault="006B3E15" w14:paraId="413EA1FC" w14:textId="77777777">
            <w:pPr>
              <w:rPr>
                <w:rFonts w:ascii="Arial" w:hAnsi="Arial" w:cs="Arial"/>
              </w:rPr>
            </w:pPr>
            <w:r>
              <w:rPr>
                <w:rFonts w:ascii="Arial" w:hAnsi="Arial" w:cs="Arial"/>
              </w:rPr>
              <w:t>Support services should be easily accessible.</w:t>
            </w:r>
          </w:p>
          <w:p w:rsidRPr="006B3E15" w:rsidR="008B5526" w:rsidP="002A42DD" w:rsidRDefault="006B3E15" w14:paraId="1AD92793" w14:textId="77777777">
            <w:pPr>
              <w:rPr>
                <w:rFonts w:ascii="Arial" w:hAnsi="Arial" w:cs="Arial"/>
              </w:rPr>
            </w:pPr>
            <w:r>
              <w:rPr>
                <w:rFonts w:ascii="Arial" w:hAnsi="Arial" w:cs="Arial"/>
              </w:rPr>
              <w:t>Address perceived stigma of social or supported housing.</w:t>
            </w:r>
          </w:p>
        </w:tc>
      </w:tr>
      <w:tr w:rsidR="006B3E15" w:rsidTr="007A2718" w14:paraId="342AC6FF" w14:textId="77777777">
        <w:trPr>
          <w:cantSplit/>
        </w:trPr>
        <w:tc>
          <w:tcPr>
            <w:tcW w:w="4153" w:type="dxa"/>
            <w:shd w:val="clear" w:color="auto" w:fill="auto"/>
          </w:tcPr>
          <w:p w:rsidRPr="00371263" w:rsidR="006B3E15" w:rsidP="00616716" w:rsidRDefault="006B3E15" w14:paraId="220B285D" w14:textId="77777777">
            <w:pPr>
              <w:pStyle w:val="ListParagraph"/>
              <w:numPr>
                <w:ilvl w:val="0"/>
                <w:numId w:val="13"/>
              </w:numPr>
              <w:ind w:left="357" w:hanging="357"/>
              <w:rPr>
                <w:rFonts w:ascii="Arial" w:hAnsi="Arial" w:cs="Arial"/>
              </w:rPr>
            </w:pPr>
            <w:r>
              <w:rPr>
                <w:rFonts w:ascii="Arial" w:hAnsi="Arial" w:cs="Arial"/>
              </w:rPr>
              <w:t>Safeguard young people</w:t>
            </w:r>
          </w:p>
        </w:tc>
        <w:tc>
          <w:tcPr>
            <w:tcW w:w="4919" w:type="dxa"/>
            <w:shd w:val="clear" w:color="auto" w:fill="auto"/>
          </w:tcPr>
          <w:p w:rsidRPr="006B3E15" w:rsidR="006B3E15" w:rsidP="002A42DD" w:rsidRDefault="006B3E15" w14:paraId="21183B39" w14:textId="77777777">
            <w:pPr>
              <w:rPr>
                <w:rFonts w:ascii="Arial" w:hAnsi="Arial" w:cs="Arial"/>
              </w:rPr>
            </w:pPr>
            <w:r w:rsidRPr="006B3E15">
              <w:rPr>
                <w:rFonts w:ascii="Arial" w:hAnsi="Arial" w:cs="Arial"/>
              </w:rPr>
              <w:t>More supported housing for young people with less requirements.</w:t>
            </w:r>
          </w:p>
          <w:p w:rsidR="006B3E15" w:rsidP="002A42DD" w:rsidRDefault="006B3E15" w14:paraId="39A4BF77" w14:textId="77777777">
            <w:pPr>
              <w:rPr>
                <w:rFonts w:ascii="Arial" w:hAnsi="Arial" w:cs="Arial"/>
              </w:rPr>
            </w:pPr>
            <w:r w:rsidRPr="00371263">
              <w:rPr>
                <w:rFonts w:ascii="Arial" w:hAnsi="Arial" w:cs="Arial"/>
              </w:rPr>
              <w:t>Independent support workers offered to help young people find and maintain a home.</w:t>
            </w:r>
          </w:p>
          <w:p w:rsidR="006B3E15" w:rsidP="002A42DD" w:rsidRDefault="006B3E15" w14:paraId="00521632" w14:textId="77777777">
            <w:pPr>
              <w:rPr>
                <w:rFonts w:ascii="Arial" w:hAnsi="Arial" w:cs="Arial"/>
              </w:rPr>
            </w:pPr>
            <w:r w:rsidRPr="006B3E15">
              <w:rPr>
                <w:rFonts w:ascii="Arial" w:hAnsi="Arial" w:cs="Arial"/>
              </w:rPr>
              <w:t xml:space="preserve">Local support groups in schools or community areas for people struggling with housing issues or homelessness. </w:t>
            </w:r>
          </w:p>
          <w:p w:rsidRPr="006B3E15" w:rsidR="00007A21" w:rsidP="002A42DD" w:rsidRDefault="006B3E15" w14:paraId="682A2719" w14:textId="77777777">
            <w:pPr>
              <w:rPr>
                <w:rFonts w:ascii="Arial" w:hAnsi="Arial" w:cs="Arial"/>
              </w:rPr>
            </w:pPr>
            <w:r w:rsidRPr="006B3E15">
              <w:rPr>
                <w:rFonts w:ascii="Arial" w:hAnsi="Arial" w:cs="Arial"/>
              </w:rPr>
              <w:t>Sp</w:t>
            </w:r>
            <w:r w:rsidR="008B5526">
              <w:rPr>
                <w:rFonts w:ascii="Arial" w:hAnsi="Arial" w:cs="Arial"/>
              </w:rPr>
              <w:t xml:space="preserve">ecialist support for </w:t>
            </w:r>
            <w:r w:rsidRPr="006B3E15">
              <w:rPr>
                <w:rFonts w:ascii="Arial" w:hAnsi="Arial" w:cs="Arial"/>
              </w:rPr>
              <w:t xml:space="preserve">LGBTQI+ youth. This should include mediation for families. </w:t>
            </w:r>
          </w:p>
        </w:tc>
      </w:tr>
      <w:tr w:rsidR="006B3E15" w:rsidTr="007A2718" w14:paraId="0890DB6F" w14:textId="77777777">
        <w:trPr>
          <w:cantSplit/>
        </w:trPr>
        <w:tc>
          <w:tcPr>
            <w:tcW w:w="4153" w:type="dxa"/>
            <w:shd w:val="clear" w:color="auto" w:fill="auto"/>
          </w:tcPr>
          <w:p w:rsidR="006B3E15" w:rsidP="00616716" w:rsidRDefault="006B3E15" w14:paraId="6820EF7D" w14:textId="77777777">
            <w:pPr>
              <w:pStyle w:val="ListParagraph"/>
              <w:numPr>
                <w:ilvl w:val="0"/>
                <w:numId w:val="13"/>
              </w:numPr>
              <w:ind w:left="357" w:hanging="357"/>
              <w:rPr>
                <w:rFonts w:ascii="Arial" w:hAnsi="Arial" w:cs="Arial"/>
              </w:rPr>
            </w:pPr>
            <w:r>
              <w:rPr>
                <w:rFonts w:ascii="Arial" w:hAnsi="Arial" w:cs="Arial"/>
              </w:rPr>
              <w:t>Improve transition for young people to independence</w:t>
            </w:r>
          </w:p>
        </w:tc>
        <w:tc>
          <w:tcPr>
            <w:tcW w:w="4919" w:type="dxa"/>
            <w:shd w:val="clear" w:color="auto" w:fill="auto"/>
          </w:tcPr>
          <w:p w:rsidR="006B3E15" w:rsidP="002A42DD" w:rsidRDefault="006B3E15" w14:paraId="529079DB" w14:textId="77777777">
            <w:pPr>
              <w:rPr>
                <w:rFonts w:ascii="Arial" w:hAnsi="Arial" w:cs="Arial"/>
              </w:rPr>
            </w:pPr>
            <w:r w:rsidRPr="00371263">
              <w:rPr>
                <w:rFonts w:ascii="Arial" w:hAnsi="Arial" w:cs="Arial"/>
              </w:rPr>
              <w:t>More housing available to young people on benefits and low incomes</w:t>
            </w:r>
            <w:r>
              <w:rPr>
                <w:rFonts w:ascii="Arial" w:hAnsi="Arial" w:cs="Arial"/>
              </w:rPr>
              <w:t xml:space="preserve"> in areas close to amenities and are inexpensive to run and live in such as </w:t>
            </w:r>
            <w:r w:rsidR="00006A3B">
              <w:rPr>
                <w:rFonts w:ascii="Arial" w:hAnsi="Arial" w:cs="Arial"/>
              </w:rPr>
              <w:t>P</w:t>
            </w:r>
            <w:r>
              <w:rPr>
                <w:rFonts w:ascii="Arial" w:hAnsi="Arial" w:cs="Arial"/>
              </w:rPr>
              <w:t>assiv-haus.</w:t>
            </w:r>
          </w:p>
          <w:p w:rsidRPr="006B3E15" w:rsidR="00007A21" w:rsidP="002A42DD" w:rsidRDefault="00007A21" w14:paraId="0B9FB289" w14:textId="77777777">
            <w:pPr>
              <w:rPr>
                <w:rFonts w:ascii="Arial" w:hAnsi="Arial" w:cs="Arial"/>
              </w:rPr>
            </w:pPr>
          </w:p>
        </w:tc>
      </w:tr>
      <w:tr w:rsidR="006B3E15" w:rsidTr="007A2718" w14:paraId="6AFAE344" w14:textId="77777777">
        <w:trPr>
          <w:cantSplit/>
        </w:trPr>
        <w:tc>
          <w:tcPr>
            <w:tcW w:w="4153" w:type="dxa"/>
            <w:shd w:val="clear" w:color="auto" w:fill="auto"/>
          </w:tcPr>
          <w:p w:rsidR="006B3E15" w:rsidP="00616716" w:rsidRDefault="006B3E15" w14:paraId="383EE480" w14:textId="77777777">
            <w:pPr>
              <w:pStyle w:val="ListParagraph"/>
              <w:numPr>
                <w:ilvl w:val="0"/>
                <w:numId w:val="13"/>
              </w:numPr>
              <w:ind w:left="357" w:hanging="357"/>
              <w:rPr>
                <w:rFonts w:ascii="Arial" w:hAnsi="Arial" w:cs="Arial"/>
              </w:rPr>
            </w:pPr>
            <w:r>
              <w:rPr>
                <w:rFonts w:ascii="Arial" w:hAnsi="Arial" w:cs="Arial"/>
              </w:rPr>
              <w:t>Develop specialist</w:t>
            </w:r>
            <w:r w:rsidR="009C606A">
              <w:rPr>
                <w:rFonts w:ascii="Arial" w:hAnsi="Arial" w:cs="Arial"/>
              </w:rPr>
              <w:t xml:space="preserve"> housing services and intervention</w:t>
            </w:r>
          </w:p>
        </w:tc>
        <w:tc>
          <w:tcPr>
            <w:tcW w:w="4919" w:type="dxa"/>
            <w:shd w:val="clear" w:color="auto" w:fill="auto"/>
          </w:tcPr>
          <w:p w:rsidRPr="00371263" w:rsidR="006B3E15" w:rsidP="002A42DD" w:rsidRDefault="009C606A" w14:paraId="5FD0DEA9" w14:textId="77777777">
            <w:pPr>
              <w:rPr>
                <w:rFonts w:ascii="Arial" w:hAnsi="Arial" w:cs="Arial"/>
              </w:rPr>
            </w:pPr>
            <w:r w:rsidRPr="009C606A">
              <w:rPr>
                <w:rFonts w:ascii="Arial" w:hAnsi="Arial" w:cs="Arial"/>
              </w:rPr>
              <w:t xml:space="preserve">Independent support workers offered to young people to support finding and maintaining a home. </w:t>
            </w:r>
          </w:p>
        </w:tc>
      </w:tr>
    </w:tbl>
    <w:p w:rsidRPr="002A42DD" w:rsidR="002A42DD" w:rsidP="002A42DD" w:rsidRDefault="002A42DD" w14:paraId="35ED9ACB" w14:textId="77777777">
      <w:pPr>
        <w:rPr>
          <w:rFonts w:ascii="Arial" w:hAnsi="Arial" w:cs="Arial"/>
          <w:sz w:val="16"/>
          <w:szCs w:val="16"/>
        </w:rPr>
      </w:pPr>
      <w:r w:rsidRPr="002A42DD">
        <w:rPr>
          <w:rFonts w:ascii="Arial" w:hAnsi="Arial" w:cs="Arial"/>
          <w:sz w:val="16"/>
          <w:szCs w:val="16"/>
        </w:rPr>
        <w:t>Table 15</w:t>
      </w:r>
    </w:p>
    <w:p w:rsidR="00D52B28" w:rsidP="00B75EEE" w:rsidRDefault="00D52B28" w14:paraId="77583795" w14:textId="77777777">
      <w:pPr>
        <w:rPr>
          <w:rFonts w:ascii="Arial" w:hAnsi="Arial" w:cs="Arial"/>
        </w:rPr>
      </w:pPr>
    </w:p>
    <w:p w:rsidRPr="00C675F2" w:rsidR="00006A3B" w:rsidP="00AE7885" w:rsidRDefault="00AE7885" w14:paraId="0E59472B" w14:textId="77777777">
      <w:pPr>
        <w:pStyle w:val="GNHS3"/>
      </w:pPr>
      <w:r>
        <w:t>6.33</w:t>
      </w:r>
      <w:r>
        <w:tab/>
      </w:r>
      <w:r w:rsidRPr="00C675F2" w:rsidR="009C7162">
        <w:t>Actions: What we will do about S</w:t>
      </w:r>
      <w:r w:rsidRPr="00C675F2" w:rsidR="00006A3B">
        <w:t xml:space="preserve">ingle </w:t>
      </w:r>
      <w:r w:rsidRPr="00C675F2" w:rsidR="009C7162">
        <w:t>and Y</w:t>
      </w:r>
      <w:r w:rsidRPr="00C675F2" w:rsidR="002A3629">
        <w:t xml:space="preserve">outh </w:t>
      </w:r>
      <w:r w:rsidRPr="00C675F2" w:rsidR="009C7162">
        <w:t>H</w:t>
      </w:r>
      <w:r w:rsidRPr="00C675F2" w:rsidR="00006A3B">
        <w:t>omelessness</w:t>
      </w:r>
    </w:p>
    <w:p w:rsidRPr="00006A3B" w:rsidR="00006A3B" w:rsidP="00006A3B" w:rsidRDefault="00006A3B" w14:paraId="120BEFCD" w14:textId="77777777">
      <w:pPr>
        <w:pStyle w:val="ListParagraph"/>
        <w:ind w:left="1125"/>
        <w:rPr>
          <w:rFonts w:ascii="Arial" w:hAnsi="Arial" w:cs="Arial"/>
        </w:rPr>
      </w:pPr>
    </w:p>
    <w:p w:rsidR="007C7840" w:rsidP="00616716" w:rsidRDefault="00C71E77" w14:paraId="6EFB4145" w14:textId="77777777">
      <w:pPr>
        <w:pStyle w:val="ListParagraph"/>
        <w:numPr>
          <w:ilvl w:val="0"/>
          <w:numId w:val="14"/>
        </w:numPr>
        <w:rPr>
          <w:rFonts w:ascii="Arial" w:hAnsi="Arial" w:cs="Arial"/>
        </w:rPr>
      </w:pPr>
      <w:r>
        <w:rPr>
          <w:rFonts w:ascii="Arial" w:hAnsi="Arial" w:cs="Arial"/>
        </w:rPr>
        <w:t>Consider and explore options for additional support</w:t>
      </w:r>
      <w:r w:rsidR="004F3C12">
        <w:rPr>
          <w:rFonts w:ascii="Arial" w:hAnsi="Arial" w:cs="Arial"/>
        </w:rPr>
        <w:t xml:space="preserve"> to</w:t>
      </w:r>
      <w:r>
        <w:rPr>
          <w:rFonts w:ascii="Arial" w:hAnsi="Arial" w:cs="Arial"/>
        </w:rPr>
        <w:t xml:space="preserve"> help single</w:t>
      </w:r>
      <w:r w:rsidR="002A3629">
        <w:rPr>
          <w:rFonts w:ascii="Arial" w:hAnsi="Arial" w:cs="Arial"/>
        </w:rPr>
        <w:t xml:space="preserve"> young </w:t>
      </w:r>
      <w:r>
        <w:rPr>
          <w:rFonts w:ascii="Arial" w:hAnsi="Arial" w:cs="Arial"/>
        </w:rPr>
        <w:t>people find and maintain a home.</w:t>
      </w:r>
    </w:p>
    <w:p w:rsidR="009C7162" w:rsidP="009C7162" w:rsidRDefault="009C7162" w14:paraId="3803DDF1" w14:textId="77777777">
      <w:pPr>
        <w:pStyle w:val="ListParagraph"/>
        <w:rPr>
          <w:rFonts w:ascii="Arial" w:hAnsi="Arial" w:cs="Arial"/>
        </w:rPr>
      </w:pPr>
    </w:p>
    <w:p w:rsidR="00C71E77" w:rsidP="00616716" w:rsidRDefault="00C71E77" w14:paraId="0766335B" w14:textId="77777777">
      <w:pPr>
        <w:pStyle w:val="ListParagraph"/>
        <w:numPr>
          <w:ilvl w:val="0"/>
          <w:numId w:val="14"/>
        </w:numPr>
        <w:rPr>
          <w:rFonts w:ascii="Arial" w:hAnsi="Arial" w:cs="Arial"/>
        </w:rPr>
      </w:pPr>
      <w:r>
        <w:rPr>
          <w:rFonts w:ascii="Arial" w:hAnsi="Arial" w:cs="Arial"/>
        </w:rPr>
        <w:t>Enabl</w:t>
      </w:r>
      <w:r w:rsidR="003A418A">
        <w:rPr>
          <w:rFonts w:ascii="Arial" w:hAnsi="Arial" w:cs="Arial"/>
        </w:rPr>
        <w:t>e</w:t>
      </w:r>
      <w:r>
        <w:rPr>
          <w:rFonts w:ascii="Arial" w:hAnsi="Arial" w:cs="Arial"/>
        </w:rPr>
        <w:t xml:space="preserve"> the</w:t>
      </w:r>
      <w:r w:rsidR="002A3629">
        <w:rPr>
          <w:rFonts w:ascii="Arial" w:hAnsi="Arial" w:cs="Arial"/>
        </w:rPr>
        <w:t xml:space="preserve"> </w:t>
      </w:r>
      <w:r>
        <w:rPr>
          <w:rFonts w:ascii="Arial" w:hAnsi="Arial" w:cs="Arial"/>
        </w:rPr>
        <w:t>provision of affordable single person homes.</w:t>
      </w:r>
    </w:p>
    <w:p w:rsidR="009C7162" w:rsidP="009C7162" w:rsidRDefault="009C7162" w14:paraId="76CCE480" w14:textId="77777777">
      <w:pPr>
        <w:pStyle w:val="ListParagraph"/>
        <w:rPr>
          <w:rFonts w:ascii="Arial" w:hAnsi="Arial" w:cs="Arial"/>
        </w:rPr>
      </w:pPr>
    </w:p>
    <w:p w:rsidR="00C71E77" w:rsidP="00616716" w:rsidRDefault="00317698" w14:paraId="2D66F66A" w14:textId="77777777">
      <w:pPr>
        <w:pStyle w:val="ListParagraph"/>
        <w:numPr>
          <w:ilvl w:val="0"/>
          <w:numId w:val="14"/>
        </w:numPr>
        <w:rPr>
          <w:rFonts w:ascii="Arial" w:hAnsi="Arial" w:cs="Arial"/>
        </w:rPr>
      </w:pPr>
      <w:r>
        <w:rPr>
          <w:rFonts w:ascii="Arial" w:hAnsi="Arial" w:cs="Arial"/>
        </w:rPr>
        <w:t>Explore</w:t>
      </w:r>
      <w:r w:rsidR="002A3629">
        <w:rPr>
          <w:rFonts w:ascii="Arial" w:hAnsi="Arial" w:cs="Arial"/>
        </w:rPr>
        <w:t xml:space="preserve"> funding streams to provide mediation for young people and families before crisis wherever possible.</w:t>
      </w:r>
    </w:p>
    <w:p w:rsidR="009C7162" w:rsidP="009C7162" w:rsidRDefault="009C7162" w14:paraId="62081A58" w14:textId="77777777">
      <w:pPr>
        <w:pStyle w:val="ListParagraph"/>
        <w:rPr>
          <w:rFonts w:ascii="Arial" w:hAnsi="Arial" w:cs="Arial"/>
        </w:rPr>
      </w:pPr>
    </w:p>
    <w:p w:rsidRPr="003B0B6E" w:rsidR="001B5C58" w:rsidP="00616716" w:rsidRDefault="003A418A" w14:paraId="6BE79A00" w14:textId="77777777">
      <w:pPr>
        <w:pStyle w:val="ListParagraph"/>
        <w:numPr>
          <w:ilvl w:val="0"/>
          <w:numId w:val="14"/>
        </w:numPr>
        <w:rPr>
          <w:rFonts w:ascii="Arial" w:hAnsi="Arial" w:cs="Arial"/>
        </w:rPr>
      </w:pPr>
      <w:r>
        <w:rPr>
          <w:rFonts w:ascii="Arial" w:hAnsi="Arial" w:cs="Arial"/>
        </w:rPr>
        <w:t xml:space="preserve">Seek to achieve a commitment from all housing providers to identify, promote and </w:t>
      </w:r>
      <w:r w:rsidR="00EF2368">
        <w:rPr>
          <w:rFonts w:ascii="Arial" w:hAnsi="Arial" w:cs="Arial"/>
        </w:rPr>
        <w:t xml:space="preserve">further </w:t>
      </w:r>
      <w:r>
        <w:rPr>
          <w:rFonts w:ascii="Arial" w:hAnsi="Arial" w:cs="Arial"/>
        </w:rPr>
        <w:t>develop specific models of housing supply that helps young adults gain independence.</w:t>
      </w:r>
    </w:p>
    <w:p w:rsidR="001B5C58" w:rsidP="00B75EEE" w:rsidRDefault="001B5C58" w14:paraId="2F0BF1C1" w14:textId="77777777">
      <w:pPr>
        <w:rPr>
          <w:rFonts w:ascii="Arial" w:hAnsi="Arial" w:cs="Arial"/>
        </w:rPr>
      </w:pPr>
    </w:p>
    <w:p w:rsidRPr="00D30039" w:rsidR="00B064B2" w:rsidP="00F15D3D" w:rsidRDefault="00F15D3D" w14:paraId="78464769" w14:textId="77777777">
      <w:pPr>
        <w:pStyle w:val="GNHS3"/>
        <w:ind w:left="720" w:hanging="720"/>
      </w:pPr>
      <w:r>
        <w:t>6.4</w:t>
      </w:r>
      <w:r>
        <w:tab/>
      </w:r>
      <w:r w:rsidRPr="00D30039" w:rsidR="00B064B2">
        <w:t>Priority four</w:t>
      </w:r>
      <w:r w:rsidRPr="00D30039" w:rsidR="00631E5A">
        <w:t xml:space="preserve">: </w:t>
      </w:r>
      <w:r w:rsidRPr="00D30039" w:rsidR="009C7162">
        <w:t xml:space="preserve"> Financial Inclusion, Welfare Reform and Economic G</w:t>
      </w:r>
      <w:r w:rsidRPr="00D30039" w:rsidR="004B10FE">
        <w:t xml:space="preserve">rowth. </w:t>
      </w:r>
    </w:p>
    <w:p w:rsidR="004B10FE" w:rsidP="004B10FE" w:rsidRDefault="004B10FE" w14:paraId="3B2E803B" w14:textId="77777777">
      <w:pPr>
        <w:pStyle w:val="ListParagraph"/>
        <w:ind w:left="1125"/>
        <w:rPr>
          <w:rFonts w:ascii="Arial" w:hAnsi="Arial" w:cs="Arial"/>
        </w:rPr>
      </w:pPr>
    </w:p>
    <w:p w:rsidRPr="004B19D5" w:rsidR="004B10FE" w:rsidP="005E5FFE" w:rsidRDefault="004B10FE" w14:paraId="01FA1F4B" w14:textId="77777777">
      <w:pPr>
        <w:rPr>
          <w:rFonts w:ascii="Arial" w:hAnsi="Arial" w:cs="Arial"/>
        </w:rPr>
      </w:pPr>
      <w:r w:rsidRPr="004B19D5">
        <w:rPr>
          <w:rFonts w:ascii="Arial" w:hAnsi="Arial" w:cs="Arial"/>
        </w:rPr>
        <w:t>The increase in the cost of housing is one of a number of areas that have had a sustained impact o</w:t>
      </w:r>
      <w:r w:rsidR="00E65A31">
        <w:rPr>
          <w:rFonts w:ascii="Arial" w:hAnsi="Arial" w:cs="Arial"/>
        </w:rPr>
        <w:t>n the cost of living (</w:t>
      </w:r>
      <w:r w:rsidRPr="004B19D5">
        <w:rPr>
          <w:rFonts w:ascii="Arial" w:hAnsi="Arial" w:cs="Arial"/>
        </w:rPr>
        <w:t>explored in more detail below</w:t>
      </w:r>
      <w:r w:rsidR="00E65A31">
        <w:rPr>
          <w:rFonts w:ascii="Arial" w:hAnsi="Arial" w:cs="Arial"/>
        </w:rPr>
        <w:t>)</w:t>
      </w:r>
      <w:r w:rsidRPr="004B19D5">
        <w:rPr>
          <w:rFonts w:ascii="Arial" w:hAnsi="Arial" w:cs="Arial"/>
        </w:rPr>
        <w:t xml:space="preserve">. In addition, the range of sustained austerity measures implemented since 2010 and the increase of necessary expenditure is putting unsustainable pressure on people and families finances. </w:t>
      </w:r>
    </w:p>
    <w:p w:rsidRPr="004B19D5" w:rsidR="004B10FE" w:rsidP="005E5FFE" w:rsidRDefault="004B10FE" w14:paraId="738F3B23" w14:textId="77777777">
      <w:pPr>
        <w:rPr>
          <w:rFonts w:ascii="Arial" w:hAnsi="Arial" w:cs="Arial"/>
        </w:rPr>
      </w:pPr>
    </w:p>
    <w:p w:rsidRPr="004B19D5" w:rsidR="004B10FE" w:rsidP="005E5FFE" w:rsidRDefault="004B10FE" w14:paraId="58DCA514" w14:textId="77777777">
      <w:pPr>
        <w:rPr>
          <w:rFonts w:ascii="Arial" w:hAnsi="Arial" w:cs="Arial"/>
        </w:rPr>
      </w:pPr>
      <w:r w:rsidRPr="004B19D5">
        <w:rPr>
          <w:rFonts w:ascii="Arial" w:hAnsi="Arial" w:cs="Arial"/>
        </w:rPr>
        <w:t>Those on low incomes are less likely to have access to the best offers and interest rates for bank accounts and credit borrowing. They are also more likely to be paying more for their utilities and insurance products.</w:t>
      </w:r>
      <w:r w:rsidR="003B0B6E">
        <w:rPr>
          <w:rStyle w:val="FootnoteReference"/>
          <w:rFonts w:ascii="Arial" w:hAnsi="Arial" w:cs="Arial"/>
        </w:rPr>
        <w:footnoteReference w:id="23"/>
      </w:r>
      <w:r w:rsidRPr="004B19D5">
        <w:rPr>
          <w:rFonts w:ascii="Arial" w:hAnsi="Arial" w:cs="Arial"/>
        </w:rPr>
        <w:t xml:space="preserve"> For those living in rural areas, this gap can be more pronounced as public transport options are limited and, where the household has access to a car, this could be through high interest credit or could be for a much older car which will have an increased likelihood of higher tax and maintenance costs. Similarly, choice can be reduced even in the simple terms of how groceries are purchased and access to the internet. Either because it is too expensive or there is a lack of suitable options in the area in which they live. </w:t>
      </w:r>
    </w:p>
    <w:p w:rsidRPr="004B19D5" w:rsidR="004B10FE" w:rsidP="005E5FFE" w:rsidRDefault="004B10FE" w14:paraId="23B5C84F" w14:textId="77777777">
      <w:pPr>
        <w:rPr>
          <w:rFonts w:ascii="Arial" w:hAnsi="Arial" w:cs="Arial"/>
        </w:rPr>
      </w:pPr>
    </w:p>
    <w:p w:rsidRPr="004B19D5" w:rsidR="004B10FE" w:rsidP="005E5FFE" w:rsidRDefault="004B10FE" w14:paraId="0FD24296" w14:textId="77777777">
      <w:pPr>
        <w:rPr>
          <w:rFonts w:ascii="Arial" w:hAnsi="Arial" w:cs="Arial"/>
        </w:rPr>
      </w:pPr>
      <w:r w:rsidRPr="004B19D5">
        <w:rPr>
          <w:rFonts w:ascii="Arial" w:hAnsi="Arial" w:cs="Arial"/>
        </w:rPr>
        <w:t>To add, the implementation of self-serve technology is becoming more widely spread. With sustained pressure on public sector finances, organisations may turn to technology to streamline how services are accessed and to provide efficiencies. UC being the best-known example of this. Self-serve can be a positive step as it allows people to access a more flexible service at the time that suits them. However, this needs to be provided as a suite of options to meet the accessibility requirements of our residents, for example, those without internet access and those with additional support or complex needs.</w:t>
      </w:r>
    </w:p>
    <w:p w:rsidRPr="004B19D5" w:rsidR="004B10FE" w:rsidP="005E5FFE" w:rsidRDefault="004B10FE" w14:paraId="10513DB3" w14:textId="77777777">
      <w:pPr>
        <w:rPr>
          <w:rFonts w:ascii="Arial" w:hAnsi="Arial" w:cs="Arial"/>
        </w:rPr>
      </w:pPr>
      <w:r w:rsidRPr="004B19D5">
        <w:rPr>
          <w:rFonts w:ascii="Arial" w:hAnsi="Arial" w:cs="Arial"/>
        </w:rPr>
        <w:t xml:space="preserve"> </w:t>
      </w:r>
    </w:p>
    <w:p w:rsidRPr="004B19D5" w:rsidR="004B10FE" w:rsidP="005E5FFE" w:rsidRDefault="004B10FE" w14:paraId="17B8C144" w14:textId="77777777">
      <w:pPr>
        <w:rPr>
          <w:rFonts w:ascii="Arial" w:hAnsi="Arial" w:cs="Arial"/>
        </w:rPr>
      </w:pPr>
      <w:r w:rsidRPr="004B19D5">
        <w:rPr>
          <w:rFonts w:ascii="Arial" w:hAnsi="Arial" w:cs="Arial"/>
        </w:rPr>
        <w:t>Welfare reform, often prompted by Universal Credit has caused hardship within the sub-region.</w:t>
      </w:r>
      <w:r w:rsidRPr="004B19D5">
        <w:rPr>
          <w:rStyle w:val="FootnoteReference"/>
          <w:rFonts w:ascii="Arial" w:hAnsi="Arial" w:cs="Arial"/>
        </w:rPr>
        <w:footnoteReference w:id="24"/>
      </w:r>
      <w:r w:rsidR="00E65A31">
        <w:rPr>
          <w:rFonts w:ascii="Arial" w:hAnsi="Arial" w:cs="Arial"/>
        </w:rPr>
        <w:t>The principles of Universal C</w:t>
      </w:r>
      <w:r w:rsidRPr="004B19D5">
        <w:rPr>
          <w:rFonts w:ascii="Arial" w:hAnsi="Arial" w:cs="Arial"/>
        </w:rPr>
        <w:t>redit are sound in that they aim to allow people to be prepared to move into work, gain greater budgeting capacity and react quickly to changes in income thus avoiding overpayments and debt. Where there have however, b</w:t>
      </w:r>
      <w:r w:rsidR="00E65A31">
        <w:rPr>
          <w:rFonts w:ascii="Arial" w:hAnsi="Arial" w:cs="Arial"/>
        </w:rPr>
        <w:t xml:space="preserve">een continued issues, is through </w:t>
      </w:r>
      <w:r w:rsidRPr="004B19D5">
        <w:rPr>
          <w:rFonts w:ascii="Arial" w:hAnsi="Arial" w:cs="Arial"/>
        </w:rPr>
        <w:t xml:space="preserve">its implementation and where it has been used to create savings throughout the period of austerity the country has faced. </w:t>
      </w:r>
    </w:p>
    <w:p w:rsidRPr="004B19D5" w:rsidR="004B10FE" w:rsidP="005E5FFE" w:rsidRDefault="004B10FE" w14:paraId="25DAFAE3" w14:textId="77777777">
      <w:pPr>
        <w:rPr>
          <w:rFonts w:ascii="Arial" w:hAnsi="Arial" w:cs="Arial"/>
        </w:rPr>
      </w:pPr>
    </w:p>
    <w:p w:rsidRPr="004B19D5" w:rsidR="004B10FE" w:rsidP="005E5FFE" w:rsidRDefault="004B10FE" w14:paraId="5CD79E3F" w14:textId="77777777">
      <w:pPr>
        <w:rPr>
          <w:rFonts w:ascii="Arial" w:hAnsi="Arial" w:cs="Arial"/>
        </w:rPr>
      </w:pPr>
      <w:r w:rsidRPr="004B19D5">
        <w:rPr>
          <w:rFonts w:ascii="Arial" w:hAnsi="Arial" w:cs="Arial"/>
        </w:rPr>
        <w:t xml:space="preserve">Linked to this is the use of zero hours contracts and the gig economy, employment types which have grown exponentially within the last 6 years and with those who work in this sector more likely to claim UC as an in-work benefit. There are some advantages to this type of work for some people, in that they provide flexibility to workers who do not want to commit to contracted hours. However, uncertain hours, low pay and concerns over the </w:t>
      </w:r>
      <w:r w:rsidRPr="004B19D5">
        <w:rPr>
          <w:rFonts w:ascii="Arial" w:hAnsi="Arial" w:cs="Arial"/>
        </w:rPr>
        <w:lastRenderedPageBreak/>
        <w:t xml:space="preserve">administration of UC makes it difficult to budget too far ahead and decreases resilience where individuals may seek other, more sustainable, training and employment opportunities. </w:t>
      </w:r>
    </w:p>
    <w:p w:rsidRPr="004B19D5" w:rsidR="004B10FE" w:rsidP="005E5FFE" w:rsidRDefault="004B10FE" w14:paraId="56DEB12D" w14:textId="77777777">
      <w:pPr>
        <w:rPr>
          <w:rFonts w:ascii="Arial" w:hAnsi="Arial" w:cs="Arial"/>
          <w:b/>
          <w:highlight w:val="yellow"/>
        </w:rPr>
      </w:pPr>
    </w:p>
    <w:p w:rsidRPr="004B19D5" w:rsidR="004B10FE" w:rsidP="005E5FFE" w:rsidRDefault="004B10FE" w14:paraId="383FE078" w14:textId="77777777">
      <w:pPr>
        <w:rPr>
          <w:rFonts w:ascii="Arial" w:hAnsi="Arial" w:cs="Arial"/>
        </w:rPr>
      </w:pPr>
      <w:r w:rsidRPr="004B19D5">
        <w:rPr>
          <w:rFonts w:ascii="Arial" w:hAnsi="Arial" w:cs="Arial"/>
        </w:rPr>
        <w:t>In terms of the cost of housing in relation to income, the latest figures show that in recent years rents in England and Wales have grown 60% quicker than wages</w:t>
      </w:r>
      <w:r w:rsidR="00094174">
        <w:rPr>
          <w:rFonts w:ascii="Arial" w:hAnsi="Arial" w:cs="Arial"/>
        </w:rPr>
        <w:t>.</w:t>
      </w:r>
      <w:r w:rsidR="00094174">
        <w:rPr>
          <w:rStyle w:val="FootnoteReference"/>
          <w:rFonts w:ascii="Arial" w:hAnsi="Arial" w:cs="Arial"/>
        </w:rPr>
        <w:footnoteReference w:id="25"/>
      </w:r>
      <w:r w:rsidRPr="004B19D5">
        <w:rPr>
          <w:rFonts w:ascii="Arial" w:hAnsi="Arial" w:cs="Arial"/>
        </w:rPr>
        <w:t xml:space="preserve">Those who previously would have purchased are finding the prospect much more difficult. </w:t>
      </w:r>
    </w:p>
    <w:p w:rsidRPr="004B19D5" w:rsidR="004B10FE" w:rsidP="005E5FFE" w:rsidRDefault="004B10FE" w14:paraId="05931C43" w14:textId="77777777">
      <w:pPr>
        <w:rPr>
          <w:rFonts w:ascii="Arial" w:hAnsi="Arial" w:cs="Arial"/>
        </w:rPr>
      </w:pPr>
    </w:p>
    <w:p w:rsidRPr="004B19D5" w:rsidR="004B10FE" w:rsidP="005E5FFE" w:rsidRDefault="004B10FE" w14:paraId="77AFE072" w14:textId="77777777">
      <w:pPr>
        <w:rPr>
          <w:rFonts w:ascii="Arial" w:hAnsi="Arial" w:cs="Arial"/>
        </w:rPr>
      </w:pPr>
      <w:r w:rsidRPr="004B19D5">
        <w:rPr>
          <w:rFonts w:ascii="Arial" w:hAnsi="Arial" w:cs="Arial"/>
        </w:rPr>
        <w:t>Additionally, this is represented through the Local Housing Allowance gap between what is actually available to those claiming Housing Benefit or the Housing element of Universal Credit and rental charges within the region. A recent published report</w:t>
      </w:r>
      <w:r w:rsidR="00094174">
        <w:rPr>
          <w:rStyle w:val="FootnoteReference"/>
          <w:rFonts w:ascii="Arial" w:hAnsi="Arial" w:cs="Arial"/>
        </w:rPr>
        <w:footnoteReference w:id="26"/>
      </w:r>
      <w:r w:rsidRPr="004B19D5">
        <w:rPr>
          <w:rFonts w:ascii="Arial" w:hAnsi="Arial" w:cs="Arial"/>
        </w:rPr>
        <w:t xml:space="preserve"> found that nationally only 5.6% of homes that are advertised fall within or below what is available within the benefit system. To add to this many Landlords are refusing access</w:t>
      </w:r>
      <w:r w:rsidR="00E65A31">
        <w:rPr>
          <w:rFonts w:ascii="Arial" w:hAnsi="Arial" w:cs="Arial"/>
        </w:rPr>
        <w:t xml:space="preserve"> to their properties to those</w:t>
      </w:r>
      <w:r w:rsidRPr="004B19D5">
        <w:rPr>
          <w:rFonts w:ascii="Arial" w:hAnsi="Arial" w:cs="Arial"/>
        </w:rPr>
        <w:t xml:space="preserve"> claiming benefits. </w:t>
      </w:r>
    </w:p>
    <w:p w:rsidRPr="004B19D5" w:rsidR="004B10FE" w:rsidP="005E5FFE" w:rsidRDefault="004B10FE" w14:paraId="314278C4" w14:textId="77777777">
      <w:pPr>
        <w:rPr>
          <w:rFonts w:ascii="Arial" w:hAnsi="Arial" w:cs="Arial"/>
        </w:rPr>
      </w:pPr>
    </w:p>
    <w:p w:rsidRPr="004B19D5" w:rsidR="004B10FE" w:rsidP="005E5FFE" w:rsidRDefault="004B10FE" w14:paraId="5E1FBAB6" w14:textId="77777777">
      <w:pPr>
        <w:rPr>
          <w:rFonts w:ascii="Arial" w:hAnsi="Arial" w:cs="Arial"/>
        </w:rPr>
      </w:pPr>
      <w:r w:rsidRPr="004B19D5">
        <w:rPr>
          <w:rFonts w:ascii="Arial" w:hAnsi="Arial" w:cs="Arial"/>
        </w:rPr>
        <w:t>The ongoing increase in the pull on people’s finances can make the prospect of purchasing or even privately renting a property unachievable meaning that options for the simple provision of a home are significantly reduced.</w:t>
      </w:r>
    </w:p>
    <w:p w:rsidRPr="004B19D5" w:rsidR="004B10FE" w:rsidP="004B10FE" w:rsidRDefault="004B10FE" w14:paraId="024ACB36" w14:textId="77777777">
      <w:pPr>
        <w:rPr>
          <w:rFonts w:ascii="Arial" w:hAnsi="Arial" w:cs="Arial"/>
        </w:rPr>
      </w:pPr>
    </w:p>
    <w:p w:rsidRPr="00BC65D1" w:rsidR="004B10FE" w:rsidP="00BB626F" w:rsidRDefault="005E5FFE" w14:paraId="0A628A19" w14:textId="77777777">
      <w:pPr>
        <w:pStyle w:val="GNHS3"/>
      </w:pPr>
      <w:r>
        <w:t>6</w:t>
      </w:r>
      <w:r w:rsidR="00771B85">
        <w:t>.41</w:t>
      </w:r>
      <w:r w:rsidR="00997FA0">
        <w:t xml:space="preserve"> </w:t>
      </w:r>
      <w:r w:rsidR="00997FA0">
        <w:tab/>
      </w:r>
      <w:r w:rsidR="00EE01D5">
        <w:t>Poverty and H</w:t>
      </w:r>
      <w:r w:rsidRPr="00BC65D1" w:rsidR="004B10FE">
        <w:t>omelessness</w:t>
      </w:r>
    </w:p>
    <w:p w:rsidRPr="004B19D5" w:rsidR="004B10FE" w:rsidP="004B10FE" w:rsidRDefault="004B10FE" w14:paraId="01588C66" w14:textId="77777777">
      <w:pPr>
        <w:rPr>
          <w:rFonts w:ascii="Arial" w:hAnsi="Arial" w:cs="Arial"/>
        </w:rPr>
      </w:pPr>
    </w:p>
    <w:p w:rsidRPr="004B19D5" w:rsidR="004B10FE" w:rsidP="004B10FE" w:rsidRDefault="004B10FE" w14:paraId="3D0EC8B6" w14:textId="77777777">
      <w:pPr>
        <w:autoSpaceDE w:val="0"/>
        <w:autoSpaceDN w:val="0"/>
        <w:adjustRightInd w:val="0"/>
        <w:rPr>
          <w:rFonts w:ascii="Arial" w:hAnsi="Arial" w:cs="Arial"/>
        </w:rPr>
      </w:pPr>
      <w:r w:rsidRPr="004B19D5">
        <w:rPr>
          <w:rFonts w:ascii="Arial" w:hAnsi="Arial" w:cs="Arial"/>
          <w:color w:val="000000"/>
        </w:rPr>
        <w:t>“There is also now extensive international evidence on the interrelationship between poverty and domestic violence</w:t>
      </w:r>
      <w:r w:rsidR="00957AC2">
        <w:rPr>
          <w:rFonts w:ascii="Arial" w:hAnsi="Arial" w:cs="Arial"/>
          <w:color w:val="000000"/>
        </w:rPr>
        <w:t>,</w:t>
      </w:r>
      <w:r w:rsidR="00957AC2">
        <w:rPr>
          <w:rStyle w:val="FootnoteReference"/>
          <w:rFonts w:ascii="Arial" w:hAnsi="Arial" w:cs="Arial"/>
          <w:color w:val="000000"/>
        </w:rPr>
        <w:footnoteReference w:id="27"/>
      </w:r>
      <w:r w:rsidR="00957AC2">
        <w:rPr>
          <w:rFonts w:ascii="Arial" w:hAnsi="Arial" w:cs="Arial"/>
          <w:color w:val="000000"/>
        </w:rPr>
        <w:t xml:space="preserve"> </w:t>
      </w:r>
      <w:r w:rsidRPr="004B19D5">
        <w:rPr>
          <w:rFonts w:ascii="Arial" w:hAnsi="Arial" w:cs="Arial"/>
          <w:color w:val="000000"/>
        </w:rPr>
        <w:t>which in turn is a key trigger for homelessness amongst women and children</w:t>
      </w:r>
      <w:r w:rsidR="00957AC2">
        <w:rPr>
          <w:rFonts w:ascii="Arial" w:hAnsi="Arial" w:cs="Arial"/>
          <w:color w:val="000000"/>
        </w:rPr>
        <w:t>.</w:t>
      </w:r>
      <w:r w:rsidR="00957AC2">
        <w:rPr>
          <w:rStyle w:val="FootnoteReference"/>
          <w:rFonts w:ascii="Arial" w:hAnsi="Arial" w:cs="Arial"/>
          <w:color w:val="000000"/>
        </w:rPr>
        <w:footnoteReference w:id="28"/>
      </w:r>
      <w:r w:rsidR="00957AC2">
        <w:rPr>
          <w:rFonts w:ascii="Arial" w:hAnsi="Arial" w:cs="Arial"/>
          <w:color w:val="000000"/>
        </w:rPr>
        <w:t xml:space="preserve"> </w:t>
      </w:r>
      <w:r w:rsidRPr="004B19D5">
        <w:rPr>
          <w:rFonts w:ascii="Arial" w:hAnsi="Arial" w:cs="Arial"/>
          <w:color w:val="000000"/>
        </w:rPr>
        <w:t>Thus people facing poverty may find their social as well as material capital depleted, while also being more likely to experience personal circumstances that lay them open to homelessness, again reinforcing the potential interconnectedness between structural and more personal or interpersonal causes of homelessness.”</w:t>
      </w:r>
      <w:r w:rsidRPr="004B19D5">
        <w:rPr>
          <w:rStyle w:val="FootnoteReference"/>
          <w:rFonts w:ascii="Arial" w:hAnsi="Arial" w:cs="Arial"/>
          <w:color w:val="000000"/>
          <w:sz w:val="16"/>
          <w:szCs w:val="16"/>
        </w:rPr>
        <w:footnoteReference w:id="29"/>
      </w:r>
    </w:p>
    <w:p w:rsidRPr="004B19D5" w:rsidR="004B10FE" w:rsidP="004B10FE" w:rsidRDefault="004B10FE" w14:paraId="7B36CA61" w14:textId="77777777">
      <w:pPr>
        <w:rPr>
          <w:rFonts w:ascii="Arial" w:hAnsi="Arial" w:cs="Arial"/>
        </w:rPr>
      </w:pPr>
    </w:p>
    <w:p w:rsidRPr="004B19D5" w:rsidR="004B10FE" w:rsidP="004B10FE" w:rsidRDefault="004B10FE" w14:paraId="7FFEEEF5" w14:textId="77777777">
      <w:pPr>
        <w:autoSpaceDE w:val="0"/>
        <w:autoSpaceDN w:val="0"/>
        <w:adjustRightInd w:val="0"/>
        <w:rPr>
          <w:rFonts w:ascii="Arial" w:hAnsi="Arial" w:cs="Arial"/>
          <w:color w:val="000000"/>
        </w:rPr>
      </w:pPr>
      <w:r w:rsidRPr="004B19D5">
        <w:rPr>
          <w:rFonts w:ascii="Arial" w:hAnsi="Arial" w:cs="Arial"/>
          <w:color w:val="000000"/>
        </w:rPr>
        <w:t>We also know that family and other ‘anchor’ social relationships – argued to be an especially important ‘buffer’ to homelessness</w:t>
      </w:r>
      <w:r w:rsidR="00874153">
        <w:rPr>
          <w:rStyle w:val="FootnoteReference"/>
          <w:rFonts w:ascii="Arial" w:hAnsi="Arial" w:cs="Arial"/>
          <w:color w:val="000000"/>
        </w:rPr>
        <w:footnoteReference w:id="30"/>
      </w:r>
      <w:r w:rsidR="00CF5BD7">
        <w:rPr>
          <w:rFonts w:ascii="Arial" w:hAnsi="Arial" w:cs="Arial"/>
          <w:color w:val="000000"/>
        </w:rPr>
        <w:t xml:space="preserve"> </w:t>
      </w:r>
      <w:r w:rsidRPr="004B19D5">
        <w:rPr>
          <w:rFonts w:ascii="Arial" w:hAnsi="Arial" w:cs="Arial"/>
          <w:color w:val="000000"/>
        </w:rPr>
        <w:t>– can be put under considerable strain by the stressors associated with poverty in the household.</w:t>
      </w:r>
      <w:r w:rsidRPr="004B19D5">
        <w:rPr>
          <w:rStyle w:val="FootnoteReference"/>
          <w:rFonts w:ascii="Arial" w:hAnsi="Arial" w:cs="Arial"/>
          <w:color w:val="000000"/>
          <w:sz w:val="16"/>
          <w:szCs w:val="16"/>
        </w:rPr>
        <w:footnoteReference w:id="31"/>
      </w:r>
    </w:p>
    <w:p w:rsidRPr="004B19D5" w:rsidR="004B10FE" w:rsidP="004B10FE" w:rsidRDefault="004B10FE" w14:paraId="722239CB" w14:textId="77777777">
      <w:pPr>
        <w:pStyle w:val="ListParagraph"/>
        <w:rPr>
          <w:rFonts w:ascii="Arial" w:hAnsi="Arial" w:cs="Arial"/>
        </w:rPr>
      </w:pPr>
    </w:p>
    <w:p w:rsidRPr="004B19D5" w:rsidR="004B10FE" w:rsidP="004B10FE" w:rsidRDefault="004B10FE" w14:paraId="26100647" w14:textId="77777777">
      <w:pPr>
        <w:autoSpaceDE w:val="0"/>
        <w:autoSpaceDN w:val="0"/>
        <w:adjustRightInd w:val="0"/>
        <w:rPr>
          <w:rFonts w:ascii="Arial" w:hAnsi="Arial" w:cs="Arial"/>
          <w:color w:val="000000"/>
        </w:rPr>
      </w:pPr>
      <w:r w:rsidRPr="004B19D5">
        <w:rPr>
          <w:rFonts w:ascii="Arial" w:hAnsi="Arial" w:cs="Arial"/>
          <w:color w:val="000000"/>
        </w:rPr>
        <w:t>Research by Crisis</w:t>
      </w:r>
      <w:r w:rsidRPr="004B19D5">
        <w:rPr>
          <w:rStyle w:val="FootnoteReference"/>
          <w:rFonts w:ascii="Arial" w:hAnsi="Arial" w:cs="Arial"/>
          <w:color w:val="000000"/>
          <w:sz w:val="16"/>
          <w:szCs w:val="16"/>
        </w:rPr>
        <w:footnoteReference w:id="32"/>
      </w:r>
      <w:r w:rsidRPr="004B19D5">
        <w:rPr>
          <w:rFonts w:ascii="Arial" w:hAnsi="Arial" w:cs="Arial"/>
          <w:color w:val="000000"/>
          <w:sz w:val="16"/>
          <w:szCs w:val="16"/>
        </w:rPr>
        <w:t xml:space="preserve"> </w:t>
      </w:r>
      <w:r w:rsidRPr="004B19D5">
        <w:rPr>
          <w:rFonts w:ascii="Arial" w:hAnsi="Arial" w:cs="Arial"/>
          <w:color w:val="000000"/>
        </w:rPr>
        <w:t>has found</w:t>
      </w:r>
      <w:r w:rsidR="007066EE">
        <w:rPr>
          <w:rFonts w:ascii="Arial" w:hAnsi="Arial" w:cs="Arial"/>
          <w:color w:val="000000"/>
        </w:rPr>
        <w:t>,</w:t>
      </w:r>
      <w:r w:rsidRPr="004B19D5">
        <w:rPr>
          <w:rFonts w:ascii="Arial" w:hAnsi="Arial" w:cs="Arial"/>
          <w:color w:val="000000"/>
        </w:rPr>
        <w:t xml:space="preserve"> based on extensive research</w:t>
      </w:r>
      <w:r w:rsidR="00094174">
        <w:rPr>
          <w:rFonts w:ascii="Arial" w:hAnsi="Arial" w:cs="Arial"/>
          <w:color w:val="000000"/>
        </w:rPr>
        <w:t xml:space="preserve"> </w:t>
      </w:r>
      <w:r w:rsidRPr="004B19D5">
        <w:rPr>
          <w:rFonts w:ascii="Arial" w:hAnsi="Arial" w:cs="Arial"/>
          <w:color w:val="000000"/>
        </w:rPr>
        <w:t>that the drivers of homelessness in its different forms are:</w:t>
      </w:r>
    </w:p>
    <w:p w:rsidRPr="004B19D5" w:rsidR="004B10FE" w:rsidP="004B10FE" w:rsidRDefault="004B10FE" w14:paraId="4FCD8A10" w14:textId="77777777">
      <w:pPr>
        <w:autoSpaceDE w:val="0"/>
        <w:autoSpaceDN w:val="0"/>
        <w:adjustRightInd w:val="0"/>
        <w:rPr>
          <w:rFonts w:ascii="Arial" w:hAnsi="Arial" w:cs="Arial"/>
          <w:color w:val="000000"/>
        </w:rPr>
      </w:pPr>
    </w:p>
    <w:p w:rsidRPr="004B19D5" w:rsidR="004B10FE" w:rsidP="00CC269F" w:rsidRDefault="004B10FE" w14:paraId="1B367177" w14:textId="77777777">
      <w:pPr>
        <w:pStyle w:val="ListParagraph"/>
        <w:numPr>
          <w:ilvl w:val="0"/>
          <w:numId w:val="2"/>
        </w:numPr>
        <w:autoSpaceDE w:val="0"/>
        <w:autoSpaceDN w:val="0"/>
        <w:adjustRightInd w:val="0"/>
        <w:rPr>
          <w:rFonts w:ascii="Arial" w:hAnsi="Arial" w:cs="Arial"/>
          <w:color w:val="000000"/>
        </w:rPr>
      </w:pPr>
      <w:r w:rsidRPr="004B19D5">
        <w:rPr>
          <w:rFonts w:ascii="Arial" w:hAnsi="Arial" w:cs="Arial"/>
          <w:color w:val="000000"/>
        </w:rPr>
        <w:t>Poverty</w:t>
      </w:r>
    </w:p>
    <w:p w:rsidRPr="004B19D5" w:rsidR="004B10FE" w:rsidP="00CC269F" w:rsidRDefault="004B10FE" w14:paraId="12AB9A0E" w14:textId="77777777">
      <w:pPr>
        <w:pStyle w:val="ListParagraph"/>
        <w:numPr>
          <w:ilvl w:val="0"/>
          <w:numId w:val="2"/>
        </w:numPr>
        <w:autoSpaceDE w:val="0"/>
        <w:autoSpaceDN w:val="0"/>
        <w:adjustRightInd w:val="0"/>
        <w:rPr>
          <w:rFonts w:ascii="Arial" w:hAnsi="Arial" w:cs="Arial"/>
          <w:color w:val="000000"/>
        </w:rPr>
      </w:pPr>
      <w:r w:rsidRPr="004B19D5">
        <w:rPr>
          <w:rFonts w:ascii="Arial" w:hAnsi="Arial" w:cs="Arial"/>
          <w:color w:val="000000"/>
        </w:rPr>
        <w:t>Availability of housing that is affordable and accessible</w:t>
      </w:r>
    </w:p>
    <w:p w:rsidRPr="004B19D5" w:rsidR="004B10FE" w:rsidP="00CC269F" w:rsidRDefault="004B10FE" w14:paraId="5C41CAEC" w14:textId="77777777">
      <w:pPr>
        <w:pStyle w:val="ListParagraph"/>
        <w:numPr>
          <w:ilvl w:val="0"/>
          <w:numId w:val="2"/>
        </w:numPr>
        <w:autoSpaceDE w:val="0"/>
        <w:autoSpaceDN w:val="0"/>
        <w:adjustRightInd w:val="0"/>
        <w:rPr>
          <w:rFonts w:ascii="Arial" w:hAnsi="Arial" w:cs="Arial"/>
          <w:color w:val="000000"/>
        </w:rPr>
      </w:pPr>
      <w:r w:rsidRPr="004B19D5">
        <w:rPr>
          <w:rFonts w:ascii="Arial" w:hAnsi="Arial" w:cs="Arial"/>
          <w:color w:val="000000"/>
        </w:rPr>
        <w:lastRenderedPageBreak/>
        <w:t>Extent that local authorities employ the full range of prevention measures</w:t>
      </w:r>
    </w:p>
    <w:p w:rsidRPr="004B19D5" w:rsidR="004B10FE" w:rsidP="00CC269F" w:rsidRDefault="004B10FE" w14:paraId="6312B6A5" w14:textId="77777777">
      <w:pPr>
        <w:pStyle w:val="ListParagraph"/>
        <w:numPr>
          <w:ilvl w:val="0"/>
          <w:numId w:val="2"/>
        </w:numPr>
        <w:autoSpaceDE w:val="0"/>
        <w:autoSpaceDN w:val="0"/>
        <w:adjustRightInd w:val="0"/>
        <w:rPr>
          <w:rFonts w:ascii="Arial" w:hAnsi="Arial" w:cs="Arial"/>
          <w:color w:val="000000"/>
        </w:rPr>
      </w:pPr>
      <w:r w:rsidRPr="004B19D5">
        <w:rPr>
          <w:rFonts w:ascii="Arial" w:hAnsi="Arial" w:cs="Arial"/>
          <w:color w:val="000000"/>
        </w:rPr>
        <w:t>Use of unsuitable forms of temporary accommodation</w:t>
      </w:r>
    </w:p>
    <w:p w:rsidR="004B10FE" w:rsidP="004B10FE" w:rsidRDefault="004B10FE" w14:paraId="5FF5BBE5" w14:textId="77777777">
      <w:pPr>
        <w:pStyle w:val="ListParagraph"/>
        <w:numPr>
          <w:ilvl w:val="0"/>
          <w:numId w:val="2"/>
        </w:numPr>
        <w:autoSpaceDE w:val="0"/>
        <w:autoSpaceDN w:val="0"/>
        <w:adjustRightInd w:val="0"/>
        <w:rPr>
          <w:rFonts w:ascii="Arial" w:hAnsi="Arial" w:cs="Arial"/>
          <w:color w:val="000000"/>
        </w:rPr>
      </w:pPr>
      <w:r w:rsidRPr="004B19D5">
        <w:rPr>
          <w:rFonts w:ascii="Arial" w:hAnsi="Arial" w:cs="Arial"/>
          <w:color w:val="000000"/>
        </w:rPr>
        <w:t>Demographics of people including age and household composition (single people and lone parents) and persons with complex needs</w:t>
      </w:r>
    </w:p>
    <w:p w:rsidRPr="001B5C58" w:rsidR="00F201B9" w:rsidP="00F201B9" w:rsidRDefault="00F201B9" w14:paraId="713625DE" w14:textId="77777777">
      <w:pPr>
        <w:pStyle w:val="ListParagraph"/>
        <w:autoSpaceDE w:val="0"/>
        <w:autoSpaceDN w:val="0"/>
        <w:adjustRightInd w:val="0"/>
        <w:rPr>
          <w:rFonts w:ascii="Arial" w:hAnsi="Arial" w:cs="Arial"/>
          <w:color w:val="000000"/>
        </w:rPr>
      </w:pPr>
    </w:p>
    <w:p w:rsidRPr="00BC65D1" w:rsidR="004B10FE" w:rsidP="00BB626F" w:rsidRDefault="005E5FFE" w14:paraId="4557A225" w14:textId="77777777">
      <w:pPr>
        <w:pStyle w:val="GNHS3"/>
      </w:pPr>
      <w:r>
        <w:t>6</w:t>
      </w:r>
      <w:r w:rsidR="00771B85">
        <w:t>.42</w:t>
      </w:r>
      <w:r w:rsidR="00D977AD">
        <w:t xml:space="preserve"> </w:t>
      </w:r>
      <w:r w:rsidR="00D977AD">
        <w:tab/>
      </w:r>
      <w:r w:rsidRPr="00BC65D1" w:rsidR="004B10FE">
        <w:t>Destitution</w:t>
      </w:r>
      <w:r w:rsidRPr="00BC65D1" w:rsidR="004B10FE">
        <w:rPr>
          <w:rStyle w:val="FootnoteReference"/>
          <w:b w:val="0"/>
          <w:color w:val="000000"/>
          <w:sz w:val="16"/>
          <w:szCs w:val="16"/>
        </w:rPr>
        <w:footnoteReference w:id="33"/>
      </w:r>
      <w:r w:rsidRPr="00BC65D1" w:rsidR="004B10FE">
        <w:rPr>
          <w:rStyle w:val="FootnoteReference"/>
          <w:b w:val="0"/>
          <w:color w:val="000000"/>
          <w:sz w:val="16"/>
          <w:szCs w:val="16"/>
        </w:rPr>
        <w:footnoteReference w:id="34"/>
      </w:r>
    </w:p>
    <w:p w:rsidRPr="004B19D5" w:rsidR="004B10FE" w:rsidP="004B10FE" w:rsidRDefault="004B10FE" w14:paraId="4DF43FE1" w14:textId="77777777">
      <w:pPr>
        <w:autoSpaceDE w:val="0"/>
        <w:autoSpaceDN w:val="0"/>
        <w:adjustRightInd w:val="0"/>
        <w:rPr>
          <w:rFonts w:ascii="Arial" w:hAnsi="Arial" w:cs="Arial"/>
          <w:color w:val="000000"/>
        </w:rPr>
      </w:pPr>
    </w:p>
    <w:p w:rsidRPr="004B19D5" w:rsidR="004B10FE" w:rsidP="004B10FE" w:rsidRDefault="004B10FE" w14:paraId="2E437DCB" w14:textId="77777777">
      <w:pPr>
        <w:autoSpaceDE w:val="0"/>
        <w:autoSpaceDN w:val="0"/>
        <w:adjustRightInd w:val="0"/>
        <w:rPr>
          <w:rFonts w:ascii="Arial" w:hAnsi="Arial" w:cs="Arial"/>
          <w:color w:val="000000"/>
        </w:rPr>
      </w:pPr>
      <w:r w:rsidRPr="004B19D5">
        <w:rPr>
          <w:rFonts w:ascii="Arial" w:hAnsi="Arial" w:cs="Arial"/>
          <w:color w:val="000000"/>
        </w:rPr>
        <w:t>A report by the Joseph Rowntree Foundation (JRF) published in 2017 updated an earlier study in 2015 providing an overview of the level of destitution in the UK and the main drivers for its existence. Destitution was measured using face to face interviews and a review of quantitative data provided district level national-level estimates. People f</w:t>
      </w:r>
      <w:r w:rsidR="00F201B9">
        <w:rPr>
          <w:rFonts w:ascii="Arial" w:hAnsi="Arial" w:cs="Arial"/>
          <w:color w:val="000000"/>
        </w:rPr>
        <w:t xml:space="preserve">ound destitute were </w:t>
      </w:r>
      <w:r w:rsidRPr="004B19D5">
        <w:rPr>
          <w:rFonts w:ascii="Arial" w:hAnsi="Arial" w:cs="Arial"/>
          <w:color w:val="000000"/>
        </w:rPr>
        <w:t>more likely to be:</w:t>
      </w:r>
    </w:p>
    <w:p w:rsidRPr="004B19D5" w:rsidR="004B10FE" w:rsidP="004B10FE" w:rsidRDefault="004B10FE" w14:paraId="6E3DB387" w14:textId="77777777">
      <w:pPr>
        <w:autoSpaceDE w:val="0"/>
        <w:autoSpaceDN w:val="0"/>
        <w:adjustRightInd w:val="0"/>
        <w:rPr>
          <w:rFonts w:ascii="Museo Sans 300" w:hAnsi="Museo Sans 300" w:cs="Museo Sans 300"/>
          <w:color w:val="000000"/>
        </w:rPr>
      </w:pPr>
    </w:p>
    <w:p w:rsidRPr="004B19D5" w:rsidR="004B10FE" w:rsidP="00616716" w:rsidRDefault="004B10FE" w14:paraId="501D39A1" w14:textId="77777777">
      <w:pPr>
        <w:pStyle w:val="ListParagraph"/>
        <w:numPr>
          <w:ilvl w:val="0"/>
          <w:numId w:val="3"/>
        </w:numPr>
        <w:autoSpaceDE w:val="0"/>
        <w:autoSpaceDN w:val="0"/>
        <w:adjustRightInd w:val="0"/>
        <w:rPr>
          <w:rFonts w:ascii="Museo Sans 300" w:hAnsi="Museo Sans 300" w:cs="Museo Sans 300"/>
          <w:color w:val="000000"/>
        </w:rPr>
      </w:pPr>
      <w:r w:rsidRPr="004B19D5">
        <w:rPr>
          <w:rFonts w:ascii="Museo Sans 300" w:hAnsi="Museo Sans 300" w:cs="Museo Sans 300"/>
          <w:color w:val="000000"/>
        </w:rPr>
        <w:t>Migrant groups</w:t>
      </w:r>
    </w:p>
    <w:p w:rsidRPr="004B19D5" w:rsidR="004B10FE" w:rsidP="00616716" w:rsidRDefault="004B10FE" w14:paraId="0C38AB6F" w14:textId="77777777">
      <w:pPr>
        <w:pStyle w:val="ListParagraph"/>
        <w:numPr>
          <w:ilvl w:val="0"/>
          <w:numId w:val="3"/>
        </w:numPr>
        <w:autoSpaceDE w:val="0"/>
        <w:autoSpaceDN w:val="0"/>
        <w:adjustRightInd w:val="0"/>
        <w:rPr>
          <w:rFonts w:ascii="Museo Sans 300" w:hAnsi="Museo Sans 300" w:cs="Museo Sans 300"/>
          <w:color w:val="000000"/>
        </w:rPr>
      </w:pPr>
      <w:r w:rsidRPr="004B19D5">
        <w:rPr>
          <w:rFonts w:ascii="Museo Sans 300" w:hAnsi="Museo Sans 300" w:cs="Museo Sans 300"/>
          <w:color w:val="000000"/>
        </w:rPr>
        <w:t>Single men under 35</w:t>
      </w:r>
    </w:p>
    <w:p w:rsidRPr="004B19D5" w:rsidR="004B10FE" w:rsidP="00616716" w:rsidRDefault="004B10FE" w14:paraId="751581E9" w14:textId="77777777">
      <w:pPr>
        <w:pStyle w:val="ListParagraph"/>
        <w:numPr>
          <w:ilvl w:val="0"/>
          <w:numId w:val="3"/>
        </w:numPr>
        <w:autoSpaceDE w:val="0"/>
        <w:autoSpaceDN w:val="0"/>
        <w:adjustRightInd w:val="0"/>
        <w:rPr>
          <w:rFonts w:ascii="Museo Sans 300" w:hAnsi="Museo Sans 300" w:cs="Museo Sans 300"/>
          <w:color w:val="000000"/>
        </w:rPr>
      </w:pPr>
      <w:r w:rsidRPr="004B19D5">
        <w:rPr>
          <w:rFonts w:ascii="Museo Sans 300" w:hAnsi="Museo Sans 300" w:cs="Museo Sans 300"/>
          <w:color w:val="000000"/>
        </w:rPr>
        <w:t>Living in rented accommodation or are living in temporary or shared living arrangements</w:t>
      </w:r>
    </w:p>
    <w:p w:rsidRPr="004B19D5" w:rsidR="004B10FE" w:rsidP="00616716" w:rsidRDefault="004B10FE" w14:paraId="5525B783" w14:textId="77777777">
      <w:pPr>
        <w:pStyle w:val="ListParagraph"/>
        <w:numPr>
          <w:ilvl w:val="0"/>
          <w:numId w:val="3"/>
        </w:numPr>
        <w:autoSpaceDE w:val="0"/>
        <w:autoSpaceDN w:val="0"/>
        <w:adjustRightInd w:val="0"/>
        <w:rPr>
          <w:rFonts w:ascii="Museo Sans 300" w:hAnsi="Museo Sans 300" w:cs="Museo Sans 300"/>
          <w:color w:val="000000"/>
        </w:rPr>
      </w:pPr>
      <w:r w:rsidRPr="004B19D5">
        <w:rPr>
          <w:rFonts w:ascii="Museo Sans 300" w:hAnsi="Museo Sans 300" w:cs="Museo Sans 300"/>
          <w:color w:val="000000"/>
        </w:rPr>
        <w:t>Sleeping rough</w:t>
      </w:r>
    </w:p>
    <w:p w:rsidRPr="004B19D5" w:rsidR="004B10FE" w:rsidP="004B10FE" w:rsidRDefault="004B10FE" w14:paraId="22FDFDC6" w14:textId="77777777">
      <w:pPr>
        <w:autoSpaceDE w:val="0"/>
        <w:autoSpaceDN w:val="0"/>
        <w:adjustRightInd w:val="0"/>
        <w:ind w:left="360"/>
        <w:rPr>
          <w:rFonts w:ascii="Museo Sans 300" w:hAnsi="Museo Sans 300" w:cs="Museo Sans 300"/>
          <w:color w:val="000000"/>
        </w:rPr>
      </w:pPr>
    </w:p>
    <w:p w:rsidRPr="004B19D5" w:rsidR="004B10FE" w:rsidP="00B6005A" w:rsidRDefault="004B10FE" w14:paraId="04FD5EF6" w14:textId="77777777">
      <w:pPr>
        <w:autoSpaceDE w:val="0"/>
        <w:autoSpaceDN w:val="0"/>
        <w:adjustRightInd w:val="0"/>
        <w:rPr>
          <w:rFonts w:ascii="Museo Sans 300" w:hAnsi="Museo Sans 300" w:cs="Museo Sans 300"/>
          <w:color w:val="000000"/>
        </w:rPr>
      </w:pPr>
      <w:r w:rsidRPr="004B19D5">
        <w:rPr>
          <w:rFonts w:ascii="Museo Sans 300" w:hAnsi="Museo Sans 300" w:cs="Museo Sans 300"/>
          <w:color w:val="000000"/>
        </w:rPr>
        <w:t>The study found that there were a number of reasons for why people fell into destitution including:</w:t>
      </w:r>
    </w:p>
    <w:p w:rsidRPr="004B19D5" w:rsidR="004B10FE" w:rsidP="004B10FE" w:rsidRDefault="004B10FE" w14:paraId="0730C888" w14:textId="77777777">
      <w:pPr>
        <w:autoSpaceDE w:val="0"/>
        <w:autoSpaceDN w:val="0"/>
        <w:adjustRightInd w:val="0"/>
        <w:ind w:left="360"/>
        <w:rPr>
          <w:rFonts w:ascii="Museo Sans 300" w:hAnsi="Museo Sans 300" w:cs="Museo Sans 300"/>
          <w:color w:val="000000"/>
        </w:rPr>
      </w:pPr>
    </w:p>
    <w:p w:rsidRPr="00B6005A" w:rsidR="004B10FE" w:rsidP="00616716" w:rsidRDefault="004B10FE" w14:paraId="7589AF9E" w14:textId="77777777">
      <w:pPr>
        <w:pStyle w:val="ListParagraph"/>
        <w:numPr>
          <w:ilvl w:val="0"/>
          <w:numId w:val="17"/>
        </w:numPr>
        <w:autoSpaceDE w:val="0"/>
        <w:autoSpaceDN w:val="0"/>
        <w:adjustRightInd w:val="0"/>
        <w:rPr>
          <w:rFonts w:ascii="Museo Sans 300" w:hAnsi="Museo Sans 300" w:cs="Museo Sans 300"/>
          <w:color w:val="000000"/>
        </w:rPr>
      </w:pPr>
      <w:r w:rsidRPr="00B6005A">
        <w:rPr>
          <w:rFonts w:ascii="Museo Sans 300" w:hAnsi="Museo Sans 300" w:cs="Museo Sans 300"/>
          <w:color w:val="000000"/>
        </w:rPr>
        <w:t>Multiple debts</w:t>
      </w:r>
    </w:p>
    <w:p w:rsidRPr="00B6005A" w:rsidR="004B10FE" w:rsidP="00616716" w:rsidRDefault="004B10FE" w14:paraId="3E2332AA" w14:textId="77777777">
      <w:pPr>
        <w:pStyle w:val="ListParagraph"/>
        <w:numPr>
          <w:ilvl w:val="0"/>
          <w:numId w:val="17"/>
        </w:numPr>
        <w:autoSpaceDE w:val="0"/>
        <w:autoSpaceDN w:val="0"/>
        <w:adjustRightInd w:val="0"/>
        <w:rPr>
          <w:rFonts w:ascii="Museo Sans 300" w:hAnsi="Museo Sans 300" w:cs="Museo Sans 300"/>
          <w:color w:val="000000"/>
        </w:rPr>
      </w:pPr>
      <w:r w:rsidRPr="00B6005A">
        <w:rPr>
          <w:rFonts w:ascii="Museo Sans 300" w:hAnsi="Museo Sans 300" w:cs="Museo Sans 300"/>
          <w:color w:val="000000"/>
        </w:rPr>
        <w:t>Benefit gaps, delays, sanctions and freezes</w:t>
      </w:r>
    </w:p>
    <w:p w:rsidRPr="00B6005A" w:rsidR="004B10FE" w:rsidP="00616716" w:rsidRDefault="004B10FE" w14:paraId="675B7DBF" w14:textId="77777777">
      <w:pPr>
        <w:pStyle w:val="ListParagraph"/>
        <w:numPr>
          <w:ilvl w:val="0"/>
          <w:numId w:val="17"/>
        </w:numPr>
        <w:autoSpaceDE w:val="0"/>
        <w:autoSpaceDN w:val="0"/>
        <w:adjustRightInd w:val="0"/>
        <w:rPr>
          <w:rFonts w:ascii="Museo Sans 300" w:hAnsi="Museo Sans 300" w:cs="Museo Sans 300"/>
          <w:color w:val="000000"/>
        </w:rPr>
      </w:pPr>
      <w:r w:rsidRPr="00B6005A">
        <w:rPr>
          <w:rFonts w:ascii="Museo Sans 300" w:hAnsi="Museo Sans 300" w:cs="Museo Sans 300"/>
          <w:color w:val="000000"/>
        </w:rPr>
        <w:t>Disability and ill health</w:t>
      </w:r>
    </w:p>
    <w:p w:rsidRPr="00B6005A" w:rsidR="004B10FE" w:rsidP="00616716" w:rsidRDefault="004B10FE" w14:paraId="3BF3E7FF" w14:textId="77777777">
      <w:pPr>
        <w:pStyle w:val="ListParagraph"/>
        <w:numPr>
          <w:ilvl w:val="0"/>
          <w:numId w:val="17"/>
        </w:numPr>
        <w:autoSpaceDE w:val="0"/>
        <w:autoSpaceDN w:val="0"/>
        <w:adjustRightInd w:val="0"/>
        <w:rPr>
          <w:rFonts w:ascii="Museo Sans 300" w:hAnsi="Museo Sans 300" w:cs="Museo Sans 300"/>
          <w:color w:val="000000"/>
        </w:rPr>
      </w:pPr>
      <w:r w:rsidRPr="00B6005A">
        <w:rPr>
          <w:rFonts w:ascii="Museo Sans 300" w:hAnsi="Museo Sans 300" w:cs="Museo Sans 300"/>
          <w:color w:val="000000"/>
        </w:rPr>
        <w:t>Housing benefit not covering rental costs</w:t>
      </w:r>
    </w:p>
    <w:p w:rsidRPr="00B6005A" w:rsidR="004B10FE" w:rsidP="00616716" w:rsidRDefault="004B10FE" w14:paraId="1717F2C9" w14:textId="77777777">
      <w:pPr>
        <w:pStyle w:val="ListParagraph"/>
        <w:numPr>
          <w:ilvl w:val="0"/>
          <w:numId w:val="17"/>
        </w:numPr>
        <w:autoSpaceDE w:val="0"/>
        <w:autoSpaceDN w:val="0"/>
        <w:adjustRightInd w:val="0"/>
        <w:rPr>
          <w:rFonts w:ascii="Museo Sans 300" w:hAnsi="Museo Sans 300" w:cs="Museo Sans 300"/>
          <w:color w:val="000000"/>
        </w:rPr>
      </w:pPr>
      <w:r w:rsidRPr="00B6005A">
        <w:rPr>
          <w:rFonts w:ascii="Museo Sans 300" w:hAnsi="Museo Sans 300" w:cs="Museo Sans 300"/>
          <w:color w:val="000000"/>
        </w:rPr>
        <w:t>Low paid work with erratic hours worked</w:t>
      </w:r>
    </w:p>
    <w:p w:rsidRPr="00B6005A" w:rsidR="004B10FE" w:rsidP="00616716" w:rsidRDefault="004B10FE" w14:paraId="0CC9D7FF" w14:textId="77777777">
      <w:pPr>
        <w:pStyle w:val="ListParagraph"/>
        <w:numPr>
          <w:ilvl w:val="0"/>
          <w:numId w:val="17"/>
        </w:numPr>
        <w:autoSpaceDE w:val="0"/>
        <w:autoSpaceDN w:val="0"/>
        <w:adjustRightInd w:val="0"/>
        <w:rPr>
          <w:rFonts w:ascii="Museo Sans 300" w:hAnsi="Museo Sans 300" w:cs="Museo Sans 300"/>
          <w:color w:val="000000"/>
        </w:rPr>
      </w:pPr>
      <w:r w:rsidRPr="00B6005A">
        <w:rPr>
          <w:rFonts w:ascii="Museo Sans 300" w:hAnsi="Museo Sans 300" w:cs="Museo Sans 300"/>
          <w:color w:val="000000"/>
        </w:rPr>
        <w:t>Relationship breakdown (including domestic abuse) combined with debt and housing difficulties</w:t>
      </w:r>
    </w:p>
    <w:p w:rsidRPr="004B19D5" w:rsidR="004B10FE" w:rsidP="004B10FE" w:rsidRDefault="004B10FE" w14:paraId="36701659" w14:textId="77777777">
      <w:pPr>
        <w:autoSpaceDE w:val="0"/>
        <w:autoSpaceDN w:val="0"/>
        <w:adjustRightInd w:val="0"/>
        <w:ind w:left="360"/>
        <w:rPr>
          <w:rFonts w:ascii="Museo Sans 300" w:hAnsi="Museo Sans 300" w:cs="Museo Sans 300"/>
          <w:color w:val="000000"/>
        </w:rPr>
      </w:pPr>
    </w:p>
    <w:p w:rsidRPr="004B19D5" w:rsidR="004B10FE" w:rsidP="00A46C48" w:rsidRDefault="004B10FE" w14:paraId="05161D77" w14:textId="77777777">
      <w:pPr>
        <w:autoSpaceDE w:val="0"/>
        <w:autoSpaceDN w:val="0"/>
        <w:adjustRightInd w:val="0"/>
        <w:rPr>
          <w:rFonts w:ascii="Museo Sans 300" w:hAnsi="Museo Sans 300" w:cs="Museo Sans 300"/>
          <w:color w:val="000000"/>
        </w:rPr>
      </w:pPr>
      <w:r w:rsidRPr="004B19D5">
        <w:rPr>
          <w:rFonts w:ascii="Museo Sans 300" w:hAnsi="Museo Sans 300" w:cs="Museo Sans 300"/>
          <w:color w:val="000000"/>
        </w:rPr>
        <w:t>Norwich (and Oxford) was found to be in the top decile on overall estimated destitution in the UK amongst predominantly former industrial centred local authorities and inner London Boroughs. The table below compares Norwich to the other greater Norwich local authorities (10=high to 1=low).</w:t>
      </w:r>
    </w:p>
    <w:p w:rsidRPr="004B19D5" w:rsidR="00F916D3" w:rsidP="00A46C48" w:rsidRDefault="00F916D3" w14:paraId="3C751C7F" w14:textId="77777777">
      <w:pPr>
        <w:autoSpaceDE w:val="0"/>
        <w:autoSpaceDN w:val="0"/>
        <w:adjustRightInd w:val="0"/>
        <w:rPr>
          <w:rFonts w:ascii="Museo Sans 300" w:hAnsi="Museo Sans 300" w:cs="Museo Sans 300"/>
          <w:color w:val="000000"/>
        </w:rPr>
      </w:pPr>
    </w:p>
    <w:tbl>
      <w:tblPr>
        <w:tblStyle w:val="TableGrid"/>
        <w:tblW w:w="0" w:type="auto"/>
        <w:tblInd w:w="-5" w:type="dxa"/>
        <w:tblLook w:val="04A0" w:firstRow="1" w:lastRow="0" w:firstColumn="1" w:lastColumn="0" w:noHBand="0" w:noVBand="1"/>
        <w:tblCaption w:val="Destitution by area"/>
        <w:tblDescription w:val="Table showing breakdown of destitution by category and by Norwich, South Norfolk and Broadland"/>
      </w:tblPr>
      <w:tblGrid>
        <w:gridCol w:w="1995"/>
        <w:gridCol w:w="1576"/>
        <w:gridCol w:w="1603"/>
        <w:gridCol w:w="1530"/>
        <w:gridCol w:w="1597"/>
      </w:tblGrid>
      <w:tr w:rsidRPr="004B19D5" w:rsidR="004B10FE" w:rsidTr="007A2718" w14:paraId="6318B1A9" w14:textId="77777777">
        <w:trPr>
          <w:cantSplit/>
          <w:tblHeader/>
        </w:trPr>
        <w:tc>
          <w:tcPr>
            <w:tcW w:w="1995" w:type="dxa"/>
            <w:shd w:val="clear" w:color="auto" w:fill="F2F2F2" w:themeFill="background1" w:themeFillShade="F2"/>
          </w:tcPr>
          <w:p w:rsidRPr="00CD15A5" w:rsidR="004B10FE" w:rsidP="004B10FE" w:rsidRDefault="004B10FE" w14:paraId="73D30BCD" w14:textId="77777777">
            <w:pPr>
              <w:autoSpaceDE w:val="0"/>
              <w:autoSpaceDN w:val="0"/>
              <w:adjustRightInd w:val="0"/>
              <w:rPr>
                <w:rFonts w:ascii="Arial" w:hAnsi="Arial" w:cs="Arial"/>
                <w:b/>
                <w:color w:val="000000"/>
              </w:rPr>
            </w:pPr>
            <w:r w:rsidRPr="00CD15A5">
              <w:rPr>
                <w:rFonts w:ascii="Arial" w:hAnsi="Arial" w:cs="Arial"/>
                <w:b/>
                <w:color w:val="000000"/>
              </w:rPr>
              <w:lastRenderedPageBreak/>
              <w:t>Area</w:t>
            </w:r>
          </w:p>
        </w:tc>
        <w:tc>
          <w:tcPr>
            <w:tcW w:w="1576" w:type="dxa"/>
            <w:shd w:val="clear" w:color="auto" w:fill="F2F2F2" w:themeFill="background1" w:themeFillShade="F2"/>
          </w:tcPr>
          <w:p w:rsidRPr="00CD15A5" w:rsidR="004B10FE" w:rsidP="004B10FE" w:rsidRDefault="004B10FE" w14:paraId="0278A53F" w14:textId="77777777">
            <w:pPr>
              <w:autoSpaceDE w:val="0"/>
              <w:autoSpaceDN w:val="0"/>
              <w:adjustRightInd w:val="0"/>
              <w:rPr>
                <w:rFonts w:ascii="Arial" w:hAnsi="Arial" w:cs="Arial"/>
                <w:b/>
                <w:color w:val="000000"/>
              </w:rPr>
            </w:pPr>
            <w:r w:rsidRPr="00CD15A5">
              <w:rPr>
                <w:rFonts w:ascii="Arial" w:hAnsi="Arial" w:cs="Arial"/>
                <w:b/>
                <w:color w:val="000000"/>
              </w:rPr>
              <w:t>Migrant</w:t>
            </w:r>
          </w:p>
        </w:tc>
        <w:tc>
          <w:tcPr>
            <w:tcW w:w="1603" w:type="dxa"/>
            <w:shd w:val="clear" w:color="auto" w:fill="F2F2F2" w:themeFill="background1" w:themeFillShade="F2"/>
          </w:tcPr>
          <w:p w:rsidRPr="00CD15A5" w:rsidR="004B10FE" w:rsidP="004B10FE" w:rsidRDefault="004B10FE" w14:paraId="69681968" w14:textId="77777777">
            <w:pPr>
              <w:autoSpaceDE w:val="0"/>
              <w:autoSpaceDN w:val="0"/>
              <w:adjustRightInd w:val="0"/>
              <w:rPr>
                <w:rFonts w:ascii="Arial" w:hAnsi="Arial" w:cs="Arial"/>
                <w:b/>
                <w:color w:val="000000"/>
              </w:rPr>
            </w:pPr>
            <w:r w:rsidRPr="00CD15A5">
              <w:rPr>
                <w:rFonts w:ascii="Arial" w:hAnsi="Arial" w:cs="Arial"/>
                <w:b/>
                <w:color w:val="000000"/>
              </w:rPr>
              <w:t>Complex Needs</w:t>
            </w:r>
          </w:p>
        </w:tc>
        <w:tc>
          <w:tcPr>
            <w:tcW w:w="1530" w:type="dxa"/>
            <w:shd w:val="clear" w:color="auto" w:fill="F2F2F2" w:themeFill="background1" w:themeFillShade="F2"/>
          </w:tcPr>
          <w:p w:rsidRPr="00CD15A5" w:rsidR="004B10FE" w:rsidP="004B10FE" w:rsidRDefault="004B10FE" w14:paraId="59A39B79" w14:textId="77777777">
            <w:pPr>
              <w:autoSpaceDE w:val="0"/>
              <w:autoSpaceDN w:val="0"/>
              <w:adjustRightInd w:val="0"/>
              <w:rPr>
                <w:rFonts w:ascii="Arial" w:hAnsi="Arial" w:cs="Arial"/>
                <w:b/>
                <w:color w:val="000000"/>
              </w:rPr>
            </w:pPr>
            <w:r w:rsidRPr="00CD15A5">
              <w:rPr>
                <w:rFonts w:ascii="Arial" w:hAnsi="Arial" w:cs="Arial"/>
                <w:b/>
                <w:color w:val="000000"/>
              </w:rPr>
              <w:t>UK other</w:t>
            </w:r>
          </w:p>
        </w:tc>
        <w:tc>
          <w:tcPr>
            <w:tcW w:w="1597" w:type="dxa"/>
            <w:shd w:val="clear" w:color="auto" w:fill="F2F2F2" w:themeFill="background1" w:themeFillShade="F2"/>
          </w:tcPr>
          <w:p w:rsidRPr="00CD15A5" w:rsidR="004B10FE" w:rsidP="004B10FE" w:rsidRDefault="004B10FE" w14:paraId="749068FD" w14:textId="77777777">
            <w:pPr>
              <w:autoSpaceDE w:val="0"/>
              <w:autoSpaceDN w:val="0"/>
              <w:adjustRightInd w:val="0"/>
              <w:rPr>
                <w:rFonts w:ascii="Arial" w:hAnsi="Arial" w:cs="Arial"/>
                <w:b/>
                <w:color w:val="000000"/>
              </w:rPr>
            </w:pPr>
            <w:r w:rsidRPr="00CD15A5">
              <w:rPr>
                <w:rFonts w:ascii="Arial" w:hAnsi="Arial" w:cs="Arial"/>
                <w:b/>
                <w:color w:val="000000"/>
              </w:rPr>
              <w:t>All destitute</w:t>
            </w:r>
          </w:p>
        </w:tc>
      </w:tr>
      <w:tr w:rsidRPr="004B19D5" w:rsidR="004B10FE" w:rsidTr="007A2718" w14:paraId="74EEBF0E" w14:textId="77777777">
        <w:trPr>
          <w:cantSplit/>
          <w:tblHeader/>
        </w:trPr>
        <w:tc>
          <w:tcPr>
            <w:tcW w:w="1995" w:type="dxa"/>
          </w:tcPr>
          <w:p w:rsidRPr="00A46C48" w:rsidR="004B10FE" w:rsidP="004B10FE" w:rsidRDefault="004B10FE" w14:paraId="4564950F" w14:textId="77777777">
            <w:pPr>
              <w:autoSpaceDE w:val="0"/>
              <w:autoSpaceDN w:val="0"/>
              <w:adjustRightInd w:val="0"/>
              <w:rPr>
                <w:rFonts w:ascii="Arial" w:hAnsi="Arial" w:cs="Arial"/>
                <w:color w:val="000000"/>
              </w:rPr>
            </w:pPr>
            <w:r w:rsidRPr="00A46C48">
              <w:rPr>
                <w:rFonts w:ascii="Arial" w:hAnsi="Arial" w:cs="Arial"/>
                <w:color w:val="000000"/>
              </w:rPr>
              <w:t>Norwich</w:t>
            </w:r>
          </w:p>
        </w:tc>
        <w:tc>
          <w:tcPr>
            <w:tcW w:w="1576" w:type="dxa"/>
          </w:tcPr>
          <w:p w:rsidRPr="00A46C48" w:rsidR="004B10FE" w:rsidP="004B10FE" w:rsidRDefault="004B10FE" w14:paraId="3EB7332C" w14:textId="77777777">
            <w:pPr>
              <w:autoSpaceDE w:val="0"/>
              <w:autoSpaceDN w:val="0"/>
              <w:adjustRightInd w:val="0"/>
              <w:rPr>
                <w:rFonts w:ascii="Arial" w:hAnsi="Arial" w:cs="Arial"/>
                <w:color w:val="000000"/>
              </w:rPr>
            </w:pPr>
            <w:r w:rsidRPr="00A46C48">
              <w:rPr>
                <w:rFonts w:ascii="Arial" w:hAnsi="Arial" w:cs="Arial"/>
                <w:color w:val="000000"/>
              </w:rPr>
              <w:t>8</w:t>
            </w:r>
          </w:p>
        </w:tc>
        <w:tc>
          <w:tcPr>
            <w:tcW w:w="1603" w:type="dxa"/>
          </w:tcPr>
          <w:p w:rsidRPr="00A46C48" w:rsidR="004B10FE" w:rsidP="004B10FE" w:rsidRDefault="004B10FE" w14:paraId="1532E6D8" w14:textId="77777777">
            <w:pPr>
              <w:autoSpaceDE w:val="0"/>
              <w:autoSpaceDN w:val="0"/>
              <w:adjustRightInd w:val="0"/>
              <w:rPr>
                <w:rFonts w:ascii="Arial" w:hAnsi="Arial" w:cs="Arial"/>
                <w:color w:val="000000"/>
              </w:rPr>
            </w:pPr>
            <w:r w:rsidRPr="00A46C48">
              <w:rPr>
                <w:rFonts w:ascii="Arial" w:hAnsi="Arial" w:cs="Arial"/>
                <w:color w:val="000000"/>
              </w:rPr>
              <w:t>10</w:t>
            </w:r>
          </w:p>
        </w:tc>
        <w:tc>
          <w:tcPr>
            <w:tcW w:w="1530" w:type="dxa"/>
          </w:tcPr>
          <w:p w:rsidRPr="00A46C48" w:rsidR="004B10FE" w:rsidP="004B10FE" w:rsidRDefault="004B10FE" w14:paraId="5CCEA75C" w14:textId="77777777">
            <w:pPr>
              <w:autoSpaceDE w:val="0"/>
              <w:autoSpaceDN w:val="0"/>
              <w:adjustRightInd w:val="0"/>
              <w:rPr>
                <w:rFonts w:ascii="Arial" w:hAnsi="Arial" w:cs="Arial"/>
                <w:color w:val="000000"/>
              </w:rPr>
            </w:pPr>
            <w:r w:rsidRPr="00A46C48">
              <w:rPr>
                <w:rFonts w:ascii="Arial" w:hAnsi="Arial" w:cs="Arial"/>
                <w:color w:val="000000"/>
              </w:rPr>
              <w:t>8</w:t>
            </w:r>
          </w:p>
        </w:tc>
        <w:tc>
          <w:tcPr>
            <w:tcW w:w="1597" w:type="dxa"/>
          </w:tcPr>
          <w:p w:rsidRPr="00A46C48" w:rsidR="004B10FE" w:rsidP="004B10FE" w:rsidRDefault="004B10FE" w14:paraId="7EF76BC7" w14:textId="77777777">
            <w:pPr>
              <w:autoSpaceDE w:val="0"/>
              <w:autoSpaceDN w:val="0"/>
              <w:adjustRightInd w:val="0"/>
              <w:rPr>
                <w:rFonts w:ascii="Arial" w:hAnsi="Arial" w:cs="Arial"/>
                <w:color w:val="000000"/>
              </w:rPr>
            </w:pPr>
            <w:r w:rsidRPr="00A46C48">
              <w:rPr>
                <w:rFonts w:ascii="Arial" w:hAnsi="Arial" w:cs="Arial"/>
                <w:color w:val="000000"/>
              </w:rPr>
              <w:t>10</w:t>
            </w:r>
          </w:p>
        </w:tc>
      </w:tr>
      <w:tr w:rsidRPr="004B19D5" w:rsidR="004B10FE" w:rsidTr="007A2718" w14:paraId="7EA140F8" w14:textId="77777777">
        <w:trPr>
          <w:cantSplit/>
          <w:tblHeader/>
        </w:trPr>
        <w:tc>
          <w:tcPr>
            <w:tcW w:w="1995" w:type="dxa"/>
          </w:tcPr>
          <w:p w:rsidRPr="00A46C48" w:rsidR="004B10FE" w:rsidP="004B10FE" w:rsidRDefault="004B10FE" w14:paraId="06246F68" w14:textId="77777777">
            <w:pPr>
              <w:autoSpaceDE w:val="0"/>
              <w:autoSpaceDN w:val="0"/>
              <w:adjustRightInd w:val="0"/>
              <w:rPr>
                <w:rFonts w:ascii="Arial" w:hAnsi="Arial" w:cs="Arial"/>
                <w:color w:val="000000"/>
              </w:rPr>
            </w:pPr>
            <w:r w:rsidRPr="00A46C48">
              <w:rPr>
                <w:rFonts w:ascii="Arial" w:hAnsi="Arial" w:cs="Arial"/>
                <w:color w:val="000000"/>
              </w:rPr>
              <w:t>South Norfolk</w:t>
            </w:r>
          </w:p>
        </w:tc>
        <w:tc>
          <w:tcPr>
            <w:tcW w:w="1576" w:type="dxa"/>
          </w:tcPr>
          <w:p w:rsidRPr="00A46C48" w:rsidR="004B10FE" w:rsidP="004B10FE" w:rsidRDefault="004B10FE" w14:paraId="3ED28AE0" w14:textId="77777777">
            <w:pPr>
              <w:autoSpaceDE w:val="0"/>
              <w:autoSpaceDN w:val="0"/>
              <w:adjustRightInd w:val="0"/>
              <w:rPr>
                <w:rFonts w:ascii="Arial" w:hAnsi="Arial" w:cs="Arial"/>
                <w:color w:val="000000"/>
              </w:rPr>
            </w:pPr>
            <w:r w:rsidRPr="00A46C48">
              <w:rPr>
                <w:rFonts w:ascii="Arial" w:hAnsi="Arial" w:cs="Arial"/>
                <w:color w:val="000000"/>
              </w:rPr>
              <w:t>3</w:t>
            </w:r>
          </w:p>
        </w:tc>
        <w:tc>
          <w:tcPr>
            <w:tcW w:w="1603" w:type="dxa"/>
          </w:tcPr>
          <w:p w:rsidRPr="00A46C48" w:rsidR="004B10FE" w:rsidP="004B10FE" w:rsidRDefault="004B10FE" w14:paraId="2E267FA7" w14:textId="77777777">
            <w:pPr>
              <w:autoSpaceDE w:val="0"/>
              <w:autoSpaceDN w:val="0"/>
              <w:adjustRightInd w:val="0"/>
              <w:rPr>
                <w:rFonts w:ascii="Arial" w:hAnsi="Arial" w:cs="Arial"/>
                <w:color w:val="000000"/>
              </w:rPr>
            </w:pPr>
            <w:r w:rsidRPr="00A46C48">
              <w:rPr>
                <w:rFonts w:ascii="Arial" w:hAnsi="Arial" w:cs="Arial"/>
                <w:color w:val="000000"/>
              </w:rPr>
              <w:t>5</w:t>
            </w:r>
          </w:p>
        </w:tc>
        <w:tc>
          <w:tcPr>
            <w:tcW w:w="1530" w:type="dxa"/>
          </w:tcPr>
          <w:p w:rsidRPr="00A46C48" w:rsidR="004B10FE" w:rsidP="004B10FE" w:rsidRDefault="004B10FE" w14:paraId="15FC0010" w14:textId="77777777">
            <w:pPr>
              <w:autoSpaceDE w:val="0"/>
              <w:autoSpaceDN w:val="0"/>
              <w:adjustRightInd w:val="0"/>
              <w:rPr>
                <w:rFonts w:ascii="Arial" w:hAnsi="Arial" w:cs="Arial"/>
                <w:color w:val="000000"/>
              </w:rPr>
            </w:pPr>
            <w:r w:rsidRPr="00A46C48">
              <w:rPr>
                <w:rFonts w:ascii="Arial" w:hAnsi="Arial" w:cs="Arial"/>
                <w:color w:val="000000"/>
              </w:rPr>
              <w:t>1</w:t>
            </w:r>
          </w:p>
        </w:tc>
        <w:tc>
          <w:tcPr>
            <w:tcW w:w="1597" w:type="dxa"/>
          </w:tcPr>
          <w:p w:rsidRPr="00A46C48" w:rsidR="004B10FE" w:rsidP="004B10FE" w:rsidRDefault="004B10FE" w14:paraId="7F9B29D8" w14:textId="77777777">
            <w:pPr>
              <w:autoSpaceDE w:val="0"/>
              <w:autoSpaceDN w:val="0"/>
              <w:adjustRightInd w:val="0"/>
              <w:rPr>
                <w:rFonts w:ascii="Arial" w:hAnsi="Arial" w:cs="Arial"/>
                <w:color w:val="000000"/>
              </w:rPr>
            </w:pPr>
            <w:r w:rsidRPr="00A46C48">
              <w:rPr>
                <w:rFonts w:ascii="Arial" w:hAnsi="Arial" w:cs="Arial"/>
                <w:color w:val="000000"/>
              </w:rPr>
              <w:t>2</w:t>
            </w:r>
          </w:p>
        </w:tc>
      </w:tr>
      <w:tr w:rsidRPr="004B19D5" w:rsidR="004B10FE" w:rsidTr="007A2718" w14:paraId="490678C2" w14:textId="77777777">
        <w:trPr>
          <w:cantSplit/>
          <w:tblHeader/>
        </w:trPr>
        <w:tc>
          <w:tcPr>
            <w:tcW w:w="1995" w:type="dxa"/>
          </w:tcPr>
          <w:p w:rsidRPr="00A46C48" w:rsidR="004B10FE" w:rsidP="004B10FE" w:rsidRDefault="004B10FE" w14:paraId="0B4673E4" w14:textId="77777777">
            <w:pPr>
              <w:autoSpaceDE w:val="0"/>
              <w:autoSpaceDN w:val="0"/>
              <w:adjustRightInd w:val="0"/>
              <w:rPr>
                <w:rFonts w:ascii="Arial" w:hAnsi="Arial" w:cs="Arial"/>
                <w:color w:val="000000"/>
              </w:rPr>
            </w:pPr>
            <w:r w:rsidRPr="00A46C48">
              <w:rPr>
                <w:rFonts w:ascii="Arial" w:hAnsi="Arial" w:cs="Arial"/>
                <w:color w:val="000000"/>
              </w:rPr>
              <w:t>Broadland</w:t>
            </w:r>
          </w:p>
        </w:tc>
        <w:tc>
          <w:tcPr>
            <w:tcW w:w="1576" w:type="dxa"/>
          </w:tcPr>
          <w:p w:rsidRPr="00A46C48" w:rsidR="004B10FE" w:rsidP="004B10FE" w:rsidRDefault="004B10FE" w14:paraId="28D8A6CE" w14:textId="77777777">
            <w:pPr>
              <w:autoSpaceDE w:val="0"/>
              <w:autoSpaceDN w:val="0"/>
              <w:adjustRightInd w:val="0"/>
              <w:rPr>
                <w:rFonts w:ascii="Arial" w:hAnsi="Arial" w:cs="Arial"/>
                <w:color w:val="000000"/>
              </w:rPr>
            </w:pPr>
            <w:r w:rsidRPr="00A46C48">
              <w:rPr>
                <w:rFonts w:ascii="Arial" w:hAnsi="Arial" w:cs="Arial"/>
                <w:color w:val="000000"/>
              </w:rPr>
              <w:t>1</w:t>
            </w:r>
          </w:p>
        </w:tc>
        <w:tc>
          <w:tcPr>
            <w:tcW w:w="1603" w:type="dxa"/>
          </w:tcPr>
          <w:p w:rsidRPr="00A46C48" w:rsidR="004B10FE" w:rsidP="004B10FE" w:rsidRDefault="004B10FE" w14:paraId="1A83F06D" w14:textId="77777777">
            <w:pPr>
              <w:autoSpaceDE w:val="0"/>
              <w:autoSpaceDN w:val="0"/>
              <w:adjustRightInd w:val="0"/>
              <w:rPr>
                <w:rFonts w:ascii="Arial" w:hAnsi="Arial" w:cs="Arial"/>
                <w:color w:val="000000"/>
              </w:rPr>
            </w:pPr>
            <w:r w:rsidRPr="00A46C48">
              <w:rPr>
                <w:rFonts w:ascii="Arial" w:hAnsi="Arial" w:cs="Arial"/>
                <w:color w:val="000000"/>
              </w:rPr>
              <w:t>5</w:t>
            </w:r>
          </w:p>
        </w:tc>
        <w:tc>
          <w:tcPr>
            <w:tcW w:w="1530" w:type="dxa"/>
          </w:tcPr>
          <w:p w:rsidRPr="00A46C48" w:rsidR="004B10FE" w:rsidP="004B10FE" w:rsidRDefault="004B10FE" w14:paraId="52AB32EE" w14:textId="77777777">
            <w:pPr>
              <w:autoSpaceDE w:val="0"/>
              <w:autoSpaceDN w:val="0"/>
              <w:adjustRightInd w:val="0"/>
              <w:rPr>
                <w:rFonts w:ascii="Arial" w:hAnsi="Arial" w:cs="Arial"/>
                <w:color w:val="000000"/>
              </w:rPr>
            </w:pPr>
            <w:r w:rsidRPr="00A46C48">
              <w:rPr>
                <w:rFonts w:ascii="Arial" w:hAnsi="Arial" w:cs="Arial"/>
                <w:color w:val="000000"/>
              </w:rPr>
              <w:t>2</w:t>
            </w:r>
          </w:p>
        </w:tc>
        <w:tc>
          <w:tcPr>
            <w:tcW w:w="1597" w:type="dxa"/>
          </w:tcPr>
          <w:p w:rsidRPr="00A46C48" w:rsidR="004B10FE" w:rsidP="004B10FE" w:rsidRDefault="004B10FE" w14:paraId="0CCDAA2F" w14:textId="77777777">
            <w:pPr>
              <w:autoSpaceDE w:val="0"/>
              <w:autoSpaceDN w:val="0"/>
              <w:adjustRightInd w:val="0"/>
              <w:rPr>
                <w:rFonts w:ascii="Arial" w:hAnsi="Arial" w:cs="Arial"/>
                <w:color w:val="000000"/>
              </w:rPr>
            </w:pPr>
            <w:r w:rsidRPr="00A46C48">
              <w:rPr>
                <w:rFonts w:ascii="Arial" w:hAnsi="Arial" w:cs="Arial"/>
                <w:color w:val="000000"/>
              </w:rPr>
              <w:t>2</w:t>
            </w:r>
          </w:p>
        </w:tc>
      </w:tr>
    </w:tbl>
    <w:p w:rsidRPr="00CE7FFE" w:rsidR="004B10FE" w:rsidP="00CE7FFE" w:rsidRDefault="00A46C48" w14:paraId="18538059" w14:textId="77777777">
      <w:pPr>
        <w:autoSpaceDE w:val="0"/>
        <w:autoSpaceDN w:val="0"/>
        <w:adjustRightInd w:val="0"/>
        <w:ind w:left="360"/>
        <w:rPr>
          <w:rFonts w:ascii="Arial" w:hAnsi="Arial" w:cs="Arial"/>
          <w:color w:val="000000"/>
          <w:sz w:val="16"/>
          <w:szCs w:val="16"/>
        </w:rPr>
      </w:pPr>
      <w:r w:rsidRPr="00A46C48">
        <w:rPr>
          <w:rFonts w:ascii="Arial" w:hAnsi="Arial" w:cs="Arial"/>
          <w:color w:val="000000"/>
          <w:sz w:val="16"/>
          <w:szCs w:val="16"/>
        </w:rPr>
        <w:t>Table 16</w:t>
      </w:r>
    </w:p>
    <w:p w:rsidRPr="004B19D5" w:rsidR="00657FB7" w:rsidP="004B10FE" w:rsidRDefault="00657FB7" w14:paraId="566F8FF3" w14:textId="77777777">
      <w:pPr>
        <w:rPr>
          <w:rFonts w:ascii="Arial" w:hAnsi="Arial" w:cs="Arial"/>
          <w:b/>
        </w:rPr>
      </w:pPr>
    </w:p>
    <w:p w:rsidRPr="004B19D5" w:rsidR="004B10FE" w:rsidP="00BB626F" w:rsidRDefault="005E5FFE" w14:paraId="10F25145" w14:textId="77777777">
      <w:pPr>
        <w:pStyle w:val="GNHS3"/>
      </w:pPr>
      <w:r>
        <w:t>6</w:t>
      </w:r>
      <w:r w:rsidR="00771B85">
        <w:t>.43</w:t>
      </w:r>
      <w:r w:rsidR="00D977AD">
        <w:t xml:space="preserve"> </w:t>
      </w:r>
      <w:r w:rsidR="00D977AD">
        <w:tab/>
      </w:r>
      <w:r w:rsidRPr="004B19D5" w:rsidR="004B10FE">
        <w:t>Economic Growth</w:t>
      </w:r>
    </w:p>
    <w:p w:rsidRPr="004B19D5" w:rsidR="004B10FE" w:rsidP="004B10FE" w:rsidRDefault="004B10FE" w14:paraId="3B247E70" w14:textId="77777777">
      <w:pPr>
        <w:rPr>
          <w:rFonts w:ascii="Arial" w:hAnsi="Arial" w:cs="Arial"/>
        </w:rPr>
      </w:pPr>
    </w:p>
    <w:p w:rsidRPr="004B19D5" w:rsidR="004B10FE" w:rsidP="004B10FE" w:rsidRDefault="004B10FE" w14:paraId="02135546" w14:textId="77777777">
      <w:pPr>
        <w:rPr>
          <w:rFonts w:ascii="Arial" w:hAnsi="Arial" w:cs="Arial"/>
        </w:rPr>
      </w:pPr>
      <w:r w:rsidRPr="004B19D5">
        <w:rPr>
          <w:rFonts w:ascii="Arial" w:hAnsi="Arial" w:cs="Arial"/>
        </w:rPr>
        <w:t xml:space="preserve">The built-up Norwich urban area extends beyond the Norwich City Council boundary, with extensive suburban areas on the western, northern and eastern sides. The population of the urban area is estimated to be 220,000; around 28 per cent of the urban population lives in Broadland and a further 7 per cent lives in South Norfolk.  </w:t>
      </w:r>
    </w:p>
    <w:p w:rsidRPr="004B19D5" w:rsidR="004B10FE" w:rsidP="004B10FE" w:rsidRDefault="004B10FE" w14:paraId="3ABB15F4" w14:textId="77777777">
      <w:pPr>
        <w:rPr>
          <w:rFonts w:ascii="Arial" w:hAnsi="Arial" w:cs="Arial"/>
          <w:highlight w:val="yellow"/>
        </w:rPr>
      </w:pPr>
    </w:p>
    <w:p w:rsidRPr="004B19D5" w:rsidR="004B10FE" w:rsidP="004B10FE" w:rsidRDefault="004B10FE" w14:paraId="3645FBF9" w14:textId="77777777">
      <w:pPr>
        <w:rPr>
          <w:rFonts w:ascii="Arial" w:hAnsi="Arial" w:cs="Arial"/>
        </w:rPr>
      </w:pPr>
      <w:r w:rsidRPr="004B19D5">
        <w:rPr>
          <w:rFonts w:ascii="Arial" w:hAnsi="Arial" w:cs="Arial"/>
        </w:rPr>
        <w:t>The city centre of Norwich is a catalyst for economic growth across Greater Norwich, encou</w:t>
      </w:r>
      <w:r w:rsidR="00D13EF4">
        <w:rPr>
          <w:rFonts w:ascii="Arial" w:hAnsi="Arial" w:cs="Arial"/>
        </w:rPr>
        <w:t>raging investment into the area. H</w:t>
      </w:r>
      <w:r w:rsidRPr="004B19D5">
        <w:rPr>
          <w:rFonts w:ascii="Arial" w:hAnsi="Arial" w:cs="Arial"/>
        </w:rPr>
        <w:t>owever an ongoing trend has been a movement of jobs away from the Norwich local authority area to the urban fringe. Much of this has been brought about by the provision of high-quality office space in out-of-town business parks in the adjoining local authorities. In addition, market towns at Diss, Harleston and Aylsham and other local employment sites provide accessible employment for rural areas.</w:t>
      </w:r>
      <w:r w:rsidRPr="004B19D5">
        <w:rPr>
          <w:rStyle w:val="FootnoteReference"/>
          <w:rFonts w:ascii="Arial" w:hAnsi="Arial" w:cs="Arial"/>
        </w:rPr>
        <w:footnoteReference w:id="35"/>
      </w:r>
      <w:r w:rsidRPr="004B19D5">
        <w:rPr>
          <w:rFonts w:ascii="Arial" w:hAnsi="Arial" w:cs="Arial"/>
        </w:rPr>
        <w:t xml:space="preserve">  </w:t>
      </w:r>
      <w:r w:rsidRPr="004B19D5">
        <w:rPr>
          <w:rStyle w:val="FootnoteReference"/>
          <w:rFonts w:ascii="Arial" w:hAnsi="Arial" w:cs="Arial"/>
        </w:rPr>
        <w:footnoteReference w:id="36"/>
      </w:r>
    </w:p>
    <w:p w:rsidRPr="004B19D5" w:rsidR="004B10FE" w:rsidP="004B10FE" w:rsidRDefault="004B10FE" w14:paraId="35E05121" w14:textId="77777777"/>
    <w:p w:rsidRPr="000A071C" w:rsidR="004B10FE" w:rsidP="004B10FE" w:rsidRDefault="004B10FE" w14:paraId="79953860" w14:textId="77777777">
      <w:pPr>
        <w:rPr>
          <w:rFonts w:ascii="Arial" w:hAnsi="Arial" w:cs="Arial"/>
        </w:rPr>
      </w:pPr>
      <w:r w:rsidRPr="000A071C">
        <w:rPr>
          <w:rFonts w:ascii="Arial" w:hAnsi="Arial" w:cs="Arial"/>
        </w:rPr>
        <w:t>One of the key roles Councils play in the sustained delivery of economic opportunities</w:t>
      </w:r>
      <w:r w:rsidRPr="000A071C" w:rsidR="00D13EF4">
        <w:rPr>
          <w:rFonts w:ascii="Arial" w:hAnsi="Arial" w:cs="Arial"/>
        </w:rPr>
        <w:t xml:space="preserve"> is</w:t>
      </w:r>
      <w:r w:rsidRPr="000A071C">
        <w:rPr>
          <w:rFonts w:ascii="Arial" w:hAnsi="Arial" w:cs="Arial"/>
        </w:rPr>
        <w:t xml:space="preserve"> by attracting the right business for our demographic, future proofing our economy to make sure that there are suitable opportunities to our residents. Where opportunities to diversify present themselves, It is vital that we co-ordinate, alongside</w:t>
      </w:r>
      <w:r w:rsidRPr="000A071C" w:rsidR="007A336A">
        <w:rPr>
          <w:rFonts w:ascii="Arial" w:hAnsi="Arial" w:cs="Arial"/>
        </w:rPr>
        <w:t xml:space="preserve"> the DWP and </w:t>
      </w:r>
      <w:r w:rsidRPr="000A071C">
        <w:rPr>
          <w:rFonts w:ascii="Arial" w:hAnsi="Arial" w:cs="Arial"/>
        </w:rPr>
        <w:t>partners</w:t>
      </w:r>
      <w:r w:rsidRPr="000A071C" w:rsidR="007A336A">
        <w:rPr>
          <w:rFonts w:ascii="Arial" w:hAnsi="Arial" w:cs="Arial"/>
        </w:rPr>
        <w:t>, for example, the New Anglia Local Enterprise Partnership (LEP); and the Greater Norwich Growth Board (GNGB)</w:t>
      </w:r>
      <w:r w:rsidRPr="000A071C">
        <w:rPr>
          <w:rFonts w:ascii="Arial" w:hAnsi="Arial" w:cs="Arial"/>
        </w:rPr>
        <w:t xml:space="preserve"> </w:t>
      </w:r>
      <w:r w:rsidRPr="000A071C" w:rsidR="007A336A">
        <w:rPr>
          <w:rFonts w:ascii="Arial" w:hAnsi="Arial" w:cs="Arial"/>
        </w:rPr>
        <w:t>in addition to</w:t>
      </w:r>
      <w:r w:rsidRPr="000A071C">
        <w:rPr>
          <w:rFonts w:ascii="Arial" w:hAnsi="Arial" w:cs="Arial"/>
        </w:rPr>
        <w:t xml:space="preserve"> training providers to make sure that our residents are well placed to meet the demands of businesses located in ou</w:t>
      </w:r>
      <w:r w:rsidRPr="000A071C" w:rsidR="00D13EF4">
        <w:rPr>
          <w:rFonts w:ascii="Arial" w:hAnsi="Arial" w:cs="Arial"/>
        </w:rPr>
        <w:t>r districts, ensuring</w:t>
      </w:r>
      <w:r w:rsidRPr="000A071C">
        <w:rPr>
          <w:rFonts w:ascii="Arial" w:hAnsi="Arial" w:cs="Arial"/>
        </w:rPr>
        <w:t xml:space="preserve"> our area remains attractive to investment.</w:t>
      </w:r>
    </w:p>
    <w:p w:rsidRPr="004B19D5" w:rsidR="004B10FE" w:rsidP="004B10FE" w:rsidRDefault="004B10FE" w14:paraId="6CA0AF76" w14:textId="77777777">
      <w:pPr>
        <w:rPr>
          <w:rFonts w:ascii="Arial" w:hAnsi="Arial" w:cs="Arial"/>
        </w:rPr>
      </w:pPr>
    </w:p>
    <w:p w:rsidRPr="004B19D5" w:rsidR="004B10FE" w:rsidP="004B10FE" w:rsidRDefault="004B10FE" w14:paraId="6B7833FB" w14:textId="77777777">
      <w:pPr>
        <w:rPr>
          <w:rFonts w:ascii="Arial" w:hAnsi="Arial" w:cs="Arial"/>
        </w:rPr>
      </w:pPr>
      <w:r w:rsidRPr="004B19D5">
        <w:rPr>
          <w:rFonts w:ascii="Arial" w:hAnsi="Arial" w:cs="Arial"/>
        </w:rPr>
        <w:t>Our role as local planning and housing authorities closely compliments economic growth delivery</w:t>
      </w:r>
      <w:r w:rsidR="00D13EF4">
        <w:rPr>
          <w:rFonts w:ascii="Arial" w:hAnsi="Arial" w:cs="Arial"/>
        </w:rPr>
        <w:t>,</w:t>
      </w:r>
      <w:r w:rsidRPr="004B19D5">
        <w:rPr>
          <w:rFonts w:ascii="Arial" w:hAnsi="Arial" w:cs="Arial"/>
        </w:rPr>
        <w:t xml:space="preserve"> in addition to making sure those who need extra support have access to it. </w:t>
      </w:r>
    </w:p>
    <w:p w:rsidRPr="004B19D5" w:rsidR="004B10FE" w:rsidP="004B10FE" w:rsidRDefault="004B10FE" w14:paraId="7D6F1698" w14:textId="77777777">
      <w:pPr>
        <w:rPr>
          <w:rFonts w:ascii="Arial" w:hAnsi="Arial" w:cs="Arial"/>
          <w:highlight w:val="yellow"/>
        </w:rPr>
      </w:pPr>
    </w:p>
    <w:p w:rsidR="00FB3BBA" w:rsidP="00F25260" w:rsidRDefault="00FB3BBA" w14:paraId="29C2D382" w14:textId="77777777">
      <w:pPr>
        <w:rPr>
          <w:rFonts w:ascii="Arial" w:hAnsi="Arial" w:cs="Arial"/>
          <w:b/>
        </w:rPr>
      </w:pPr>
    </w:p>
    <w:p w:rsidR="004B10FE" w:rsidP="00BB626F" w:rsidRDefault="005E5FFE" w14:paraId="3238F9AB" w14:textId="77777777">
      <w:pPr>
        <w:pStyle w:val="GNHS3"/>
      </w:pPr>
      <w:r>
        <w:t>6</w:t>
      </w:r>
      <w:r w:rsidR="00F25260">
        <w:t>.</w:t>
      </w:r>
      <w:r w:rsidR="003C730B">
        <w:t>44</w:t>
      </w:r>
      <w:r w:rsidRPr="00F25260" w:rsidR="00F25260">
        <w:tab/>
      </w:r>
      <w:r w:rsidRPr="00F25260" w:rsidR="004B10FE">
        <w:t>Actions</w:t>
      </w:r>
    </w:p>
    <w:p w:rsidRPr="00F25260" w:rsidR="00771144" w:rsidP="00F25260" w:rsidRDefault="00771144" w14:paraId="4ECEEDFC" w14:textId="77777777">
      <w:pPr>
        <w:rPr>
          <w:rFonts w:ascii="Arial" w:hAnsi="Arial" w:cs="Arial"/>
          <w:b/>
        </w:rPr>
      </w:pPr>
    </w:p>
    <w:p w:rsidRPr="00771144" w:rsidR="004B10FE" w:rsidP="004B10FE" w:rsidRDefault="004B10FE" w14:paraId="738CC6B8" w14:textId="77777777">
      <w:pPr>
        <w:rPr>
          <w:rFonts w:ascii="Arial" w:hAnsi="Arial" w:cs="Arial"/>
        </w:rPr>
      </w:pPr>
      <w:r w:rsidRPr="004B19D5">
        <w:rPr>
          <w:rFonts w:ascii="Arial" w:hAnsi="Arial" w:cs="Arial"/>
        </w:rPr>
        <w:t xml:space="preserve">It is </w:t>
      </w:r>
      <w:r w:rsidR="00771144">
        <w:rPr>
          <w:rFonts w:ascii="Arial" w:hAnsi="Arial" w:cs="Arial"/>
        </w:rPr>
        <w:t>essential that the role of the G</w:t>
      </w:r>
      <w:r w:rsidRPr="004B19D5">
        <w:rPr>
          <w:rFonts w:ascii="Arial" w:hAnsi="Arial" w:cs="Arial"/>
        </w:rPr>
        <w:t xml:space="preserve">reater Norwich Councils </w:t>
      </w:r>
      <w:r w:rsidR="00771144">
        <w:rPr>
          <w:rFonts w:ascii="Arial" w:hAnsi="Arial" w:cs="Arial"/>
        </w:rPr>
        <w:t xml:space="preserve">is to </w:t>
      </w:r>
      <w:r w:rsidRPr="004B19D5">
        <w:rPr>
          <w:rFonts w:ascii="Arial" w:hAnsi="Arial" w:cs="Arial"/>
        </w:rPr>
        <w:t>co-ordinate and prioritise economic sustainability and growth to provide access to opportunities for our residents.</w:t>
      </w:r>
    </w:p>
    <w:p w:rsidRPr="0012773A" w:rsidR="004B10FE" w:rsidP="004B10FE" w:rsidRDefault="004B10FE" w14:paraId="7AB06971" w14:textId="77777777">
      <w:pPr>
        <w:rPr>
          <w:rFonts w:ascii="Arial" w:hAnsi="Arial" w:cs="Arial"/>
          <w:b/>
          <w:highlight w:val="yellow"/>
        </w:rPr>
      </w:pPr>
    </w:p>
    <w:p w:rsidRPr="004B19D5" w:rsidR="004B10FE" w:rsidP="00616716" w:rsidRDefault="004B10FE" w14:paraId="5CCA03C4" w14:textId="77777777">
      <w:pPr>
        <w:pStyle w:val="ListParagraph"/>
        <w:numPr>
          <w:ilvl w:val="0"/>
          <w:numId w:val="11"/>
        </w:numPr>
        <w:rPr>
          <w:rFonts w:ascii="Arial" w:hAnsi="Arial" w:cs="Arial"/>
        </w:rPr>
      </w:pPr>
      <w:r w:rsidRPr="004B19D5">
        <w:rPr>
          <w:rFonts w:ascii="Arial" w:hAnsi="Arial" w:cs="Arial"/>
        </w:rPr>
        <w:t>Supporting th</w:t>
      </w:r>
      <w:r w:rsidR="00771144">
        <w:rPr>
          <w:rFonts w:ascii="Arial" w:hAnsi="Arial" w:cs="Arial"/>
        </w:rPr>
        <w:t>e Inclusive Growth agenda at a County and Local A</w:t>
      </w:r>
      <w:r w:rsidRPr="004B19D5">
        <w:rPr>
          <w:rFonts w:ascii="Arial" w:hAnsi="Arial" w:cs="Arial"/>
        </w:rPr>
        <w:t>uthority level – Improving access to skills, training and employment opportunities</w:t>
      </w:r>
    </w:p>
    <w:p w:rsidRPr="004B19D5" w:rsidR="004B10FE" w:rsidP="004B10FE" w:rsidRDefault="004B10FE" w14:paraId="4CFF6FD0" w14:textId="77777777">
      <w:pPr>
        <w:pStyle w:val="ListParagraph"/>
        <w:rPr>
          <w:rFonts w:ascii="Arial" w:hAnsi="Arial" w:cs="Arial"/>
        </w:rPr>
      </w:pPr>
    </w:p>
    <w:p w:rsidRPr="004B19D5" w:rsidR="004B10FE" w:rsidP="00616716" w:rsidRDefault="004B10FE" w14:paraId="7E7150D5" w14:textId="77777777">
      <w:pPr>
        <w:pStyle w:val="ListParagraph"/>
        <w:numPr>
          <w:ilvl w:val="0"/>
          <w:numId w:val="11"/>
        </w:numPr>
        <w:rPr>
          <w:rFonts w:ascii="Arial" w:hAnsi="Arial" w:cs="Arial"/>
        </w:rPr>
      </w:pPr>
      <w:r w:rsidRPr="004B19D5">
        <w:rPr>
          <w:rFonts w:ascii="Arial" w:hAnsi="Arial" w:cs="Arial"/>
        </w:rPr>
        <w:t>Building the right properties - Learning from the great achievements made within each Council over the last 5 years and to continue to produce sustained delivery of affordable housing and social energy efficient properties with sustainable tenures.</w:t>
      </w:r>
    </w:p>
    <w:p w:rsidRPr="004B19D5" w:rsidR="004B10FE" w:rsidP="004B10FE" w:rsidRDefault="004B10FE" w14:paraId="5C36E626" w14:textId="77777777">
      <w:pPr>
        <w:rPr>
          <w:rFonts w:ascii="Arial" w:hAnsi="Arial" w:cs="Arial"/>
        </w:rPr>
      </w:pPr>
    </w:p>
    <w:p w:rsidRPr="004B19D5" w:rsidR="004B10FE" w:rsidP="00616716" w:rsidRDefault="004B10FE" w14:paraId="412839DD" w14:textId="77777777">
      <w:pPr>
        <w:pStyle w:val="ListParagraph"/>
        <w:numPr>
          <w:ilvl w:val="0"/>
          <w:numId w:val="11"/>
        </w:numPr>
        <w:rPr>
          <w:rFonts w:ascii="Arial" w:hAnsi="Arial" w:cs="Arial"/>
        </w:rPr>
      </w:pPr>
      <w:r w:rsidRPr="004B19D5">
        <w:rPr>
          <w:rFonts w:ascii="Arial" w:hAnsi="Arial" w:cs="Arial"/>
        </w:rPr>
        <w:t xml:space="preserve">Economic Delivery – Support and enable the delivery of the ambitions of the Economic Strategies and the Greater Norwich Local Plan across the local authority areas, </w:t>
      </w:r>
    </w:p>
    <w:p w:rsidRPr="004B19D5" w:rsidR="004B10FE" w:rsidP="004B10FE" w:rsidRDefault="004B10FE" w14:paraId="3F40A901" w14:textId="77777777">
      <w:pPr>
        <w:rPr>
          <w:rFonts w:ascii="Arial" w:hAnsi="Arial" w:cs="Arial"/>
        </w:rPr>
      </w:pPr>
    </w:p>
    <w:p w:rsidRPr="000A071C" w:rsidR="004B10FE" w:rsidP="00616716" w:rsidRDefault="004B10FE" w14:paraId="2EA05D69" w14:textId="77777777">
      <w:pPr>
        <w:pStyle w:val="ListParagraph"/>
        <w:numPr>
          <w:ilvl w:val="0"/>
          <w:numId w:val="11"/>
        </w:numPr>
        <w:rPr>
          <w:rFonts w:ascii="Arial" w:hAnsi="Arial" w:cs="Arial"/>
        </w:rPr>
      </w:pPr>
      <w:r w:rsidRPr="000A071C">
        <w:rPr>
          <w:rFonts w:ascii="Arial" w:hAnsi="Arial" w:cs="Arial"/>
        </w:rPr>
        <w:t>Explor</w:t>
      </w:r>
      <w:r w:rsidRPr="000A071C" w:rsidR="00172464">
        <w:rPr>
          <w:rFonts w:ascii="Arial" w:hAnsi="Arial" w:cs="Arial"/>
        </w:rPr>
        <w:t>e and develop our offer to increase accessibility and availability</w:t>
      </w:r>
      <w:r w:rsidRPr="000A071C">
        <w:rPr>
          <w:rFonts w:ascii="Arial" w:hAnsi="Arial" w:cs="Arial"/>
        </w:rPr>
        <w:t xml:space="preserve"> – ensuring we can enable residents and customers to access services at the right time and location for them</w:t>
      </w:r>
    </w:p>
    <w:p w:rsidRPr="00771144" w:rsidR="006409A4" w:rsidP="00771144" w:rsidRDefault="006409A4" w14:paraId="592C5B03" w14:textId="77777777">
      <w:pPr>
        <w:rPr>
          <w:rFonts w:ascii="Arial" w:hAnsi="Arial" w:cs="Arial"/>
        </w:rPr>
      </w:pPr>
    </w:p>
    <w:p w:rsidRPr="005B4373" w:rsidR="00340994" w:rsidP="00BB626F" w:rsidRDefault="00340994" w14:paraId="15AC6213" w14:textId="77777777">
      <w:pPr>
        <w:pStyle w:val="GNHS2"/>
        <w:numPr>
          <w:ilvl w:val="0"/>
          <w:numId w:val="37"/>
        </w:numPr>
      </w:pPr>
      <w:r w:rsidRPr="005B4373">
        <w:t>Monitoring of the strategy</w:t>
      </w:r>
      <w:r w:rsidRPr="005B4373" w:rsidR="009F3848">
        <w:t xml:space="preserve"> </w:t>
      </w:r>
    </w:p>
    <w:p w:rsidR="00340994" w:rsidP="00340994" w:rsidRDefault="00340994" w14:paraId="113B4088" w14:textId="77777777">
      <w:pPr>
        <w:pStyle w:val="ListParagraph"/>
        <w:rPr>
          <w:rFonts w:ascii="Arial" w:hAnsi="Arial" w:cs="Arial"/>
        </w:rPr>
      </w:pPr>
    </w:p>
    <w:p w:rsidRPr="002C1FEF" w:rsidR="00340994" w:rsidP="00340994" w:rsidRDefault="00340994" w14:paraId="29275BC7" w14:textId="77777777">
      <w:pPr>
        <w:rPr>
          <w:rFonts w:ascii="Arial" w:hAnsi="Arial" w:cs="Arial"/>
        </w:rPr>
      </w:pPr>
      <w:r w:rsidRPr="002C1FEF">
        <w:rPr>
          <w:rFonts w:ascii="Arial" w:hAnsi="Arial" w:cs="Arial"/>
        </w:rPr>
        <w:t>To ensure we are taking a proactive approach to preventing and reducing homelessness, we will review this homelessness strategy annually with our partners through the Greater Norwich Homelessness Forum (GNHF) and its thematic sub-groups.</w:t>
      </w:r>
    </w:p>
    <w:p w:rsidRPr="002C1FEF" w:rsidR="00340994" w:rsidP="00340994" w:rsidRDefault="00340994" w14:paraId="65F8A7E0" w14:textId="77777777">
      <w:pPr>
        <w:rPr>
          <w:rFonts w:ascii="Arial" w:hAnsi="Arial" w:cs="Arial"/>
        </w:rPr>
      </w:pPr>
    </w:p>
    <w:p w:rsidRPr="002C1FEF" w:rsidR="00340994" w:rsidP="00340994" w:rsidRDefault="00340994" w14:paraId="0F4D1A43" w14:textId="77777777">
      <w:pPr>
        <w:rPr>
          <w:rFonts w:ascii="Arial" w:hAnsi="Arial" w:cs="Arial"/>
        </w:rPr>
      </w:pPr>
      <w:r w:rsidRPr="002C1FEF">
        <w:rPr>
          <w:rFonts w:ascii="Arial" w:hAnsi="Arial" w:cs="Arial"/>
        </w:rPr>
        <w:t>The 2021 review will take place as part of the work into the next iteration of the Rough Sleeper Strategy 2022-2025.</w:t>
      </w:r>
    </w:p>
    <w:p w:rsidRPr="002C1FEF" w:rsidR="00340994" w:rsidP="00340994" w:rsidRDefault="00340994" w14:paraId="1BF546AC" w14:textId="77777777">
      <w:pPr>
        <w:rPr>
          <w:rFonts w:ascii="Arial" w:hAnsi="Arial" w:cs="Arial"/>
        </w:rPr>
      </w:pPr>
    </w:p>
    <w:p w:rsidR="00340994" w:rsidP="00340994" w:rsidRDefault="00340994" w14:paraId="2BA4EF28" w14:textId="77777777">
      <w:pPr>
        <w:rPr>
          <w:rFonts w:ascii="Arial" w:hAnsi="Arial" w:cs="Arial"/>
        </w:rPr>
      </w:pPr>
      <w:r w:rsidRPr="002C1FEF">
        <w:rPr>
          <w:rFonts w:ascii="Arial" w:hAnsi="Arial" w:cs="Arial"/>
        </w:rPr>
        <w:t>The GNHF will also provide annual review and challenge points to measure that we are achieving the actions set out in this strategy and help us to identify where they may need to be amended, for example to meet a priority not currently identified or where there are changes in legislation.</w:t>
      </w:r>
    </w:p>
    <w:p w:rsidR="00FB3BBA" w:rsidP="00340994" w:rsidRDefault="00FB3BBA" w14:paraId="71778D9F" w14:textId="77777777">
      <w:pPr>
        <w:rPr>
          <w:rFonts w:ascii="Arial" w:hAnsi="Arial" w:cs="Arial"/>
        </w:rPr>
      </w:pPr>
    </w:p>
    <w:p w:rsidR="00340994" w:rsidP="00340994" w:rsidRDefault="00340994" w14:paraId="12810087" w14:textId="77777777">
      <w:pPr>
        <w:rPr>
          <w:rFonts w:ascii="Arial" w:hAnsi="Arial" w:cs="Arial"/>
        </w:rPr>
      </w:pPr>
    </w:p>
    <w:p w:rsidRPr="00AA6BC5" w:rsidR="00340994" w:rsidP="001F3B27" w:rsidRDefault="005E5FFE" w14:paraId="79FE06F1" w14:textId="77777777">
      <w:pPr>
        <w:pStyle w:val="GNHS2"/>
        <w:numPr>
          <w:ilvl w:val="0"/>
          <w:numId w:val="37"/>
        </w:numPr>
      </w:pPr>
      <w:r w:rsidRPr="00AA6BC5">
        <w:t>Glossary of T</w:t>
      </w:r>
      <w:r w:rsidRPr="00AA6BC5" w:rsidR="00340994">
        <w:t>erms</w:t>
      </w:r>
    </w:p>
    <w:p w:rsidR="00456C24" w:rsidP="00456C24" w:rsidRDefault="00456C24" w14:paraId="215D4BD5" w14:textId="77777777">
      <w:pPr>
        <w:pStyle w:val="ListParagraph"/>
        <w:ind w:left="465"/>
        <w:rPr>
          <w:rFonts w:ascii="Arial" w:hAnsi="Arial" w:cs="Arial"/>
        </w:rPr>
      </w:pPr>
    </w:p>
    <w:tbl>
      <w:tblPr>
        <w:tblStyle w:val="TableGrid11"/>
        <w:tblW w:w="0" w:type="auto"/>
        <w:tblLook w:val="04A0" w:firstRow="1" w:lastRow="0" w:firstColumn="1" w:lastColumn="0" w:noHBand="0" w:noVBand="1"/>
        <w:tblCaption w:val="Glossary of terms"/>
        <w:tblDescription w:val="Table showing glossary of terms used within the Greater Norwich Homelessness Strategy"/>
      </w:tblPr>
      <w:tblGrid>
        <w:gridCol w:w="2418"/>
        <w:gridCol w:w="5878"/>
      </w:tblGrid>
      <w:tr w:rsidRPr="00C81839" w:rsidR="00340994" w:rsidTr="007A2718" w14:paraId="5F8DCE92" w14:textId="77777777">
        <w:trPr>
          <w:cantSplit/>
          <w:tblHeader/>
        </w:trPr>
        <w:tc>
          <w:tcPr>
            <w:tcW w:w="2557" w:type="dxa"/>
            <w:shd w:val="clear" w:color="auto" w:fill="D9D9D9" w:themeFill="background1" w:themeFillShade="D9"/>
          </w:tcPr>
          <w:p w:rsidRPr="00C81839" w:rsidR="00340994" w:rsidP="00A70409" w:rsidRDefault="00340994" w14:paraId="1332DCA9" w14:textId="77777777">
            <w:pPr>
              <w:rPr>
                <w:rFonts w:ascii="Arial" w:hAnsi="Arial" w:cs="Arial"/>
                <w:b/>
                <w:sz w:val="22"/>
                <w:szCs w:val="22"/>
              </w:rPr>
            </w:pPr>
            <w:r w:rsidRPr="00C81839">
              <w:rPr>
                <w:rFonts w:ascii="Arial" w:hAnsi="Arial" w:cs="Arial"/>
                <w:b/>
                <w:sz w:val="22"/>
                <w:szCs w:val="22"/>
              </w:rPr>
              <w:t>Term</w:t>
            </w:r>
          </w:p>
        </w:tc>
        <w:tc>
          <w:tcPr>
            <w:tcW w:w="6685" w:type="dxa"/>
            <w:shd w:val="clear" w:color="auto" w:fill="D9D9D9" w:themeFill="background1" w:themeFillShade="D9"/>
          </w:tcPr>
          <w:p w:rsidRPr="00C81839" w:rsidR="00340994" w:rsidP="00A70409" w:rsidRDefault="00340994" w14:paraId="2147EE4D" w14:textId="77777777">
            <w:pPr>
              <w:rPr>
                <w:rFonts w:ascii="Arial" w:hAnsi="Arial" w:cs="Arial"/>
                <w:b/>
                <w:sz w:val="22"/>
                <w:szCs w:val="22"/>
              </w:rPr>
            </w:pPr>
            <w:r w:rsidRPr="00C81839">
              <w:rPr>
                <w:rFonts w:ascii="Arial" w:hAnsi="Arial" w:cs="Arial"/>
                <w:b/>
                <w:sz w:val="22"/>
                <w:szCs w:val="22"/>
              </w:rPr>
              <w:t>Definition</w:t>
            </w:r>
          </w:p>
        </w:tc>
      </w:tr>
      <w:tr w:rsidRPr="00C81839" w:rsidR="00340994" w:rsidTr="007A2718" w14:paraId="0C8DB665" w14:textId="77777777">
        <w:trPr>
          <w:cantSplit/>
        </w:trPr>
        <w:tc>
          <w:tcPr>
            <w:tcW w:w="2557" w:type="dxa"/>
          </w:tcPr>
          <w:p w:rsidRPr="00C81839" w:rsidR="00340994" w:rsidP="00A70409" w:rsidRDefault="00340994" w14:paraId="5E3AA5A2" w14:textId="77777777">
            <w:pPr>
              <w:rPr>
                <w:rFonts w:ascii="Arial" w:hAnsi="Arial" w:cs="Arial"/>
                <w:sz w:val="22"/>
                <w:szCs w:val="22"/>
              </w:rPr>
            </w:pPr>
            <w:r w:rsidRPr="00C81839">
              <w:rPr>
                <w:rFonts w:ascii="Arial" w:hAnsi="Arial" w:cs="Arial"/>
                <w:sz w:val="22"/>
                <w:szCs w:val="22"/>
              </w:rPr>
              <w:t>Bedroom Tax</w:t>
            </w:r>
          </w:p>
        </w:tc>
        <w:tc>
          <w:tcPr>
            <w:tcW w:w="6685" w:type="dxa"/>
          </w:tcPr>
          <w:p w:rsidRPr="00C81839" w:rsidR="00340994" w:rsidP="00A70409" w:rsidRDefault="00340994" w14:paraId="0AF11597" w14:textId="77777777">
            <w:pPr>
              <w:rPr>
                <w:rFonts w:ascii="Arial" w:hAnsi="Arial" w:cs="Arial"/>
                <w:sz w:val="22"/>
                <w:szCs w:val="22"/>
              </w:rPr>
            </w:pPr>
            <w:r w:rsidRPr="00C81839">
              <w:rPr>
                <w:rFonts w:ascii="Arial" w:hAnsi="Arial" w:cs="Arial"/>
                <w:sz w:val="22"/>
                <w:szCs w:val="22"/>
              </w:rPr>
              <w:t xml:space="preserve">Formally known as the ‘Spare Room Subsidy’. Housing Benefit or Universal Credit Housing element is reduced if classed as having one or more spare bedrooms in a council or socially rented property. </w:t>
            </w:r>
          </w:p>
          <w:p w:rsidRPr="00C81839" w:rsidR="00340994" w:rsidP="00A70409" w:rsidRDefault="00340994" w14:paraId="5DD5FE3F" w14:textId="77777777">
            <w:pPr>
              <w:rPr>
                <w:rFonts w:ascii="Arial" w:hAnsi="Arial" w:cs="Arial"/>
                <w:color w:val="212122"/>
                <w:sz w:val="22"/>
                <w:szCs w:val="22"/>
              </w:rPr>
            </w:pPr>
            <w:r w:rsidRPr="00C81839">
              <w:rPr>
                <w:rFonts w:ascii="Arial" w:hAnsi="Arial" w:cs="Arial"/>
                <w:color w:val="212122"/>
                <w:sz w:val="22"/>
                <w:szCs w:val="22"/>
              </w:rPr>
              <w:t>The maximum rent that can be covered is reduced by:</w:t>
            </w:r>
          </w:p>
          <w:p w:rsidRPr="00C81839" w:rsidR="00340994" w:rsidP="00616716" w:rsidRDefault="00340994" w14:paraId="7587A028" w14:textId="77777777">
            <w:pPr>
              <w:numPr>
                <w:ilvl w:val="0"/>
                <w:numId w:val="9"/>
              </w:numPr>
              <w:ind w:left="0"/>
              <w:rPr>
                <w:rFonts w:ascii="Arial" w:hAnsi="Arial" w:cs="Arial"/>
                <w:color w:val="212122"/>
                <w:sz w:val="22"/>
                <w:szCs w:val="22"/>
              </w:rPr>
            </w:pPr>
            <w:r w:rsidRPr="00C81839">
              <w:rPr>
                <w:rFonts w:ascii="Arial" w:hAnsi="Arial" w:cs="Arial"/>
                <w:color w:val="212122"/>
                <w:sz w:val="22"/>
                <w:szCs w:val="22"/>
              </w:rPr>
              <w:t>14% for 1 spare bedroom</w:t>
            </w:r>
          </w:p>
          <w:p w:rsidRPr="00C81839" w:rsidR="00340994" w:rsidP="00616716" w:rsidRDefault="00340994" w14:paraId="6F182699" w14:textId="77777777">
            <w:pPr>
              <w:numPr>
                <w:ilvl w:val="0"/>
                <w:numId w:val="9"/>
              </w:numPr>
              <w:ind w:left="0"/>
              <w:rPr>
                <w:rFonts w:ascii="Arial" w:hAnsi="Arial" w:cs="Arial"/>
                <w:color w:val="212122"/>
                <w:sz w:val="22"/>
                <w:szCs w:val="22"/>
              </w:rPr>
            </w:pPr>
            <w:r w:rsidRPr="00C81839">
              <w:rPr>
                <w:rFonts w:ascii="Arial" w:hAnsi="Arial" w:cs="Arial"/>
                <w:color w:val="212122"/>
                <w:sz w:val="22"/>
                <w:szCs w:val="22"/>
              </w:rPr>
              <w:t>25% for 2 or more spare bedrooms</w:t>
            </w:r>
          </w:p>
        </w:tc>
      </w:tr>
      <w:tr w:rsidRPr="00C81839" w:rsidR="00340994" w:rsidTr="007A2718" w14:paraId="0321C9D2" w14:textId="77777777">
        <w:trPr>
          <w:cantSplit/>
        </w:trPr>
        <w:tc>
          <w:tcPr>
            <w:tcW w:w="2557" w:type="dxa"/>
          </w:tcPr>
          <w:p w:rsidRPr="00C81839" w:rsidR="00340994" w:rsidP="00A70409" w:rsidRDefault="00340994" w14:paraId="339AE914" w14:textId="77777777">
            <w:pPr>
              <w:rPr>
                <w:rFonts w:ascii="Arial" w:hAnsi="Arial" w:cs="Arial"/>
                <w:sz w:val="22"/>
                <w:szCs w:val="22"/>
              </w:rPr>
            </w:pPr>
            <w:r w:rsidRPr="00C81839">
              <w:rPr>
                <w:rFonts w:ascii="Arial" w:hAnsi="Arial" w:cs="Arial"/>
                <w:sz w:val="22"/>
                <w:szCs w:val="22"/>
              </w:rPr>
              <w:t>Benefit Cap</w:t>
            </w:r>
          </w:p>
        </w:tc>
        <w:tc>
          <w:tcPr>
            <w:tcW w:w="6685" w:type="dxa"/>
          </w:tcPr>
          <w:p w:rsidRPr="00C81839" w:rsidR="00340994" w:rsidP="00A70409" w:rsidRDefault="00340994" w14:paraId="58EC7A6F" w14:textId="77777777">
            <w:pPr>
              <w:rPr>
                <w:rFonts w:ascii="Arial" w:hAnsi="Arial" w:cs="Arial"/>
                <w:sz w:val="22"/>
                <w:szCs w:val="22"/>
              </w:rPr>
            </w:pPr>
            <w:r w:rsidRPr="00C81839">
              <w:rPr>
                <w:rFonts w:ascii="Arial" w:hAnsi="Arial" w:cs="Arial"/>
                <w:sz w:val="22"/>
                <w:szCs w:val="22"/>
              </w:rPr>
              <w:t>Limit on the total amount of certain benefits you can get if you are working age. The benefit cap affects those households getting Housing Benefit or Universal Credit. If the cap affects the household; Housing Benefit or Universal Credit is reduced.</w:t>
            </w:r>
          </w:p>
        </w:tc>
      </w:tr>
      <w:tr w:rsidRPr="00C81839" w:rsidR="00340994" w:rsidTr="007A2718" w14:paraId="743AFDA9" w14:textId="77777777">
        <w:trPr>
          <w:cantSplit/>
        </w:trPr>
        <w:tc>
          <w:tcPr>
            <w:tcW w:w="2557" w:type="dxa"/>
          </w:tcPr>
          <w:p w:rsidRPr="00C81839" w:rsidR="00340994" w:rsidP="00A70409" w:rsidRDefault="00340994" w14:paraId="42483A6E" w14:textId="77777777">
            <w:pPr>
              <w:rPr>
                <w:rFonts w:ascii="Arial" w:hAnsi="Arial" w:cs="Arial"/>
                <w:sz w:val="22"/>
                <w:szCs w:val="22"/>
              </w:rPr>
            </w:pPr>
            <w:r w:rsidRPr="00C81839">
              <w:rPr>
                <w:rFonts w:ascii="Arial" w:hAnsi="Arial" w:cs="Arial"/>
                <w:sz w:val="22"/>
                <w:szCs w:val="22"/>
              </w:rPr>
              <w:t>Broad Rental Market Area (BRMA)</w:t>
            </w:r>
          </w:p>
        </w:tc>
        <w:tc>
          <w:tcPr>
            <w:tcW w:w="6685" w:type="dxa"/>
          </w:tcPr>
          <w:p w:rsidRPr="00C81839" w:rsidR="00340994" w:rsidP="00A70409" w:rsidRDefault="00340994" w14:paraId="67F67031" w14:textId="77777777">
            <w:pPr>
              <w:rPr>
                <w:rFonts w:ascii="Arial" w:hAnsi="Arial" w:cs="Arial"/>
                <w:sz w:val="22"/>
                <w:szCs w:val="22"/>
              </w:rPr>
            </w:pPr>
            <w:r w:rsidRPr="00C81839">
              <w:rPr>
                <w:rFonts w:ascii="Arial" w:hAnsi="Arial" w:cs="Arial"/>
                <w:sz w:val="22"/>
                <w:szCs w:val="22"/>
              </w:rPr>
              <w:t>The BRMA is an area defined by the Valuation Office Agency and is an area of residential accommodation within which a person could move and still have access to similar services of a similar standard. Each BRMA has its own set of LHA rates. Your postcode defines which BRMA in which you live.</w:t>
            </w:r>
          </w:p>
        </w:tc>
      </w:tr>
      <w:tr w:rsidRPr="00C81839" w:rsidR="00340994" w:rsidTr="007A2718" w14:paraId="1744EFA4" w14:textId="77777777">
        <w:trPr>
          <w:cantSplit/>
        </w:trPr>
        <w:tc>
          <w:tcPr>
            <w:tcW w:w="2557" w:type="dxa"/>
          </w:tcPr>
          <w:p w:rsidRPr="00C81839" w:rsidR="00340994" w:rsidP="00A70409" w:rsidRDefault="00340994" w14:paraId="162231E3" w14:textId="77777777">
            <w:pPr>
              <w:rPr>
                <w:rFonts w:ascii="Arial" w:hAnsi="Arial" w:cs="Arial"/>
                <w:sz w:val="22"/>
                <w:szCs w:val="22"/>
              </w:rPr>
            </w:pPr>
            <w:r w:rsidRPr="00C81839">
              <w:rPr>
                <w:rFonts w:ascii="Arial" w:hAnsi="Arial" w:cs="Arial"/>
                <w:sz w:val="22"/>
                <w:szCs w:val="22"/>
              </w:rPr>
              <w:lastRenderedPageBreak/>
              <w:t xml:space="preserve">Choice Based Lettings (CBL) </w:t>
            </w:r>
          </w:p>
        </w:tc>
        <w:tc>
          <w:tcPr>
            <w:tcW w:w="6685" w:type="dxa"/>
          </w:tcPr>
          <w:p w:rsidRPr="00C81839" w:rsidR="00340994" w:rsidP="00A70409" w:rsidRDefault="00340994" w14:paraId="38E07DC0" w14:textId="77777777">
            <w:pPr>
              <w:rPr>
                <w:rFonts w:ascii="Arial" w:hAnsi="Arial" w:cs="Arial"/>
                <w:sz w:val="22"/>
                <w:szCs w:val="22"/>
              </w:rPr>
            </w:pPr>
            <w:r w:rsidRPr="00C81839">
              <w:rPr>
                <w:rFonts w:ascii="Arial" w:hAnsi="Arial" w:cs="Arial"/>
                <w:bCs/>
                <w:sz w:val="22"/>
                <w:szCs w:val="22"/>
                <w:lang w:val="en"/>
              </w:rPr>
              <w:t>Choice based lettings gives a household the chance to apply for empty council and housing association properties that the council or housing association advertises (Currently Norwich and South Norfolk Council’s operate this system).</w:t>
            </w:r>
          </w:p>
        </w:tc>
      </w:tr>
      <w:tr w:rsidRPr="00C81839" w:rsidR="00340994" w:rsidTr="007A2718" w14:paraId="4D4CED2D" w14:textId="77777777">
        <w:trPr>
          <w:cantSplit/>
        </w:trPr>
        <w:tc>
          <w:tcPr>
            <w:tcW w:w="2557" w:type="dxa"/>
          </w:tcPr>
          <w:p w:rsidRPr="00C81839" w:rsidR="00340994" w:rsidP="00A70409" w:rsidRDefault="00340994" w14:paraId="4AAA2598" w14:textId="77777777">
            <w:pPr>
              <w:rPr>
                <w:rFonts w:ascii="Arial" w:hAnsi="Arial" w:cs="Arial"/>
                <w:sz w:val="22"/>
                <w:szCs w:val="22"/>
              </w:rPr>
            </w:pPr>
            <w:r w:rsidRPr="00C81839">
              <w:rPr>
                <w:rFonts w:ascii="Arial" w:hAnsi="Arial" w:cs="Arial"/>
                <w:sz w:val="22"/>
                <w:szCs w:val="22"/>
              </w:rPr>
              <w:t>Clinical Commissioning Group</w:t>
            </w:r>
          </w:p>
        </w:tc>
        <w:tc>
          <w:tcPr>
            <w:tcW w:w="6685" w:type="dxa"/>
          </w:tcPr>
          <w:p w:rsidR="00340994" w:rsidP="00A70409" w:rsidRDefault="00340994" w14:paraId="7C7108D7" w14:textId="77777777">
            <w:pPr>
              <w:rPr>
                <w:rFonts w:ascii="Arial" w:hAnsi="Arial" w:cs="Arial"/>
                <w:sz w:val="22"/>
                <w:szCs w:val="22"/>
              </w:rPr>
            </w:pPr>
            <w:r w:rsidRPr="00C81839">
              <w:rPr>
                <w:rFonts w:ascii="Arial" w:hAnsi="Arial" w:cs="Arial"/>
                <w:sz w:val="22"/>
                <w:szCs w:val="22"/>
              </w:rPr>
              <w:t>Clinical Commissioning Groups are responsible for implementing the commissioning roles as set out in the Health and Social Care Act 2012.</w:t>
            </w:r>
          </w:p>
          <w:p w:rsidRPr="00C81839" w:rsidR="00F201B9" w:rsidP="00A70409" w:rsidRDefault="00F201B9" w14:paraId="176D0B08" w14:textId="77777777">
            <w:pPr>
              <w:rPr>
                <w:rFonts w:ascii="Arial" w:hAnsi="Arial" w:cs="Arial"/>
                <w:sz w:val="22"/>
                <w:szCs w:val="22"/>
              </w:rPr>
            </w:pPr>
            <w:r>
              <w:rPr>
                <w:rFonts w:ascii="Arial" w:hAnsi="Arial" w:cs="Arial"/>
                <w:sz w:val="22"/>
                <w:szCs w:val="22"/>
              </w:rPr>
              <w:t>From April 2020, the 5 Norfolk and Waveney CCGs will merge and become Norfolk and Waveney Clinical Commissioning Group with one Governing Body and Leadership Team.</w:t>
            </w:r>
          </w:p>
        </w:tc>
      </w:tr>
      <w:tr w:rsidRPr="00C81839" w:rsidR="00EC5EB8" w:rsidTr="007A2718" w14:paraId="6AA8DB9A" w14:textId="77777777">
        <w:trPr>
          <w:cantSplit/>
        </w:trPr>
        <w:tc>
          <w:tcPr>
            <w:tcW w:w="2557" w:type="dxa"/>
          </w:tcPr>
          <w:p w:rsidRPr="00C81839" w:rsidR="00EC5EB8" w:rsidP="00A70409" w:rsidRDefault="00EC5EB8" w14:paraId="1B33A4D3" w14:textId="77777777">
            <w:pPr>
              <w:rPr>
                <w:rFonts w:ascii="Arial" w:hAnsi="Arial" w:cs="Arial"/>
                <w:sz w:val="22"/>
                <w:szCs w:val="22"/>
              </w:rPr>
            </w:pPr>
            <w:r>
              <w:rPr>
                <w:rFonts w:ascii="Arial" w:hAnsi="Arial" w:cs="Arial"/>
                <w:sz w:val="22"/>
                <w:szCs w:val="22"/>
              </w:rPr>
              <w:t>Commuted Sums</w:t>
            </w:r>
          </w:p>
        </w:tc>
        <w:tc>
          <w:tcPr>
            <w:tcW w:w="6685" w:type="dxa"/>
          </w:tcPr>
          <w:p w:rsidRPr="00B94B09" w:rsidR="00EC5EB8" w:rsidP="00B94B09" w:rsidRDefault="00B94B09" w14:paraId="27470573" w14:textId="77777777">
            <w:pPr>
              <w:shd w:val="clear" w:color="auto" w:fill="FFFFFF"/>
              <w:spacing w:before="100" w:beforeAutospacing="1" w:after="100" w:afterAutospacing="1"/>
              <w:rPr>
                <w:rFonts w:ascii="Arial" w:hAnsi="Arial" w:cs="Arial"/>
                <w:color w:val="000000"/>
                <w:sz w:val="22"/>
                <w:szCs w:val="22"/>
                <w:lang w:val="en"/>
              </w:rPr>
            </w:pPr>
            <w:r w:rsidRPr="00B94B09">
              <w:rPr>
                <w:rFonts w:ascii="Arial" w:hAnsi="Arial" w:cs="Arial"/>
                <w:color w:val="000000"/>
                <w:sz w:val="22"/>
                <w:szCs w:val="22"/>
                <w:lang w:val="en"/>
              </w:rPr>
              <w:t xml:space="preserve">The main objective of a local authority should be to deliver the affordable homes on-site as part of a new development. However, on some developments this may not be possible and there may be sound planning or housing reasons where off site delivery can be justified and it may be acceptable to take an off-site </w:t>
            </w:r>
            <w:r w:rsidRPr="00B94B09">
              <w:rPr>
                <w:rFonts w:ascii="Arial" w:hAnsi="Arial" w:cs="Arial"/>
                <w:b/>
                <w:bCs/>
                <w:color w:val="000000"/>
                <w:sz w:val="22"/>
                <w:szCs w:val="22"/>
                <w:lang w:val="en"/>
              </w:rPr>
              <w:t xml:space="preserve">commuted sum </w:t>
            </w:r>
            <w:r w:rsidRPr="00B94B09">
              <w:rPr>
                <w:rFonts w:ascii="Arial" w:hAnsi="Arial" w:cs="Arial"/>
                <w:color w:val="000000"/>
                <w:sz w:val="22"/>
                <w:szCs w:val="22"/>
                <w:lang w:val="en"/>
              </w:rPr>
              <w:t>of broadly equivalent value in lieu of part or all of the afford</w:t>
            </w:r>
            <w:r w:rsidR="007243F3">
              <w:rPr>
                <w:rFonts w:ascii="Arial" w:hAnsi="Arial" w:cs="Arial"/>
                <w:color w:val="000000"/>
                <w:sz w:val="22"/>
                <w:szCs w:val="22"/>
                <w:lang w:val="en"/>
              </w:rPr>
              <w:t xml:space="preserve">able housing provision on a site. </w:t>
            </w:r>
            <w:r>
              <w:rPr>
                <w:rFonts w:ascii="Arial" w:hAnsi="Arial" w:cs="Arial"/>
                <w:color w:val="000000"/>
                <w:sz w:val="22"/>
                <w:szCs w:val="22"/>
                <w:lang w:val="en"/>
              </w:rPr>
              <w:t>T</w:t>
            </w:r>
            <w:r w:rsidRPr="00B94B09">
              <w:rPr>
                <w:rFonts w:ascii="Arial" w:hAnsi="Arial" w:cs="Arial"/>
                <w:color w:val="000000"/>
                <w:sz w:val="22"/>
                <w:szCs w:val="22"/>
                <w:lang w:val="en"/>
              </w:rPr>
              <w:t xml:space="preserve">he developer must pay the Council money to enable the equivalent affordable housing to be built or provided on another site. This payment is called a </w:t>
            </w:r>
            <w:r w:rsidRPr="00B94B09">
              <w:rPr>
                <w:rFonts w:ascii="Arial" w:hAnsi="Arial" w:cs="Arial"/>
                <w:b/>
                <w:bCs/>
                <w:color w:val="000000"/>
                <w:sz w:val="22"/>
                <w:szCs w:val="22"/>
                <w:lang w:val="en"/>
              </w:rPr>
              <w:t xml:space="preserve">commuted sum </w:t>
            </w:r>
            <w:r w:rsidRPr="00B94B09">
              <w:rPr>
                <w:rFonts w:ascii="Arial" w:hAnsi="Arial" w:cs="Arial"/>
                <w:color w:val="000000"/>
                <w:sz w:val="22"/>
                <w:szCs w:val="22"/>
                <w:lang w:val="en"/>
              </w:rPr>
              <w:t>and it is agreed and secured via a planning obligation under Section 106 of the Town and Count</w:t>
            </w:r>
            <w:r>
              <w:rPr>
                <w:rFonts w:ascii="Arial" w:hAnsi="Arial" w:cs="Arial"/>
                <w:color w:val="000000"/>
                <w:sz w:val="22"/>
                <w:szCs w:val="22"/>
                <w:lang w:val="en"/>
              </w:rPr>
              <w:t xml:space="preserve">ry Planning Act 1990. </w:t>
            </w:r>
            <w:r w:rsidRPr="00B94B09">
              <w:rPr>
                <w:rFonts w:ascii="Arial" w:hAnsi="Arial" w:cs="Arial"/>
                <w:color w:val="000000"/>
                <w:sz w:val="22"/>
                <w:szCs w:val="22"/>
                <w:lang w:val="en"/>
              </w:rPr>
              <w:t>This is the legal mechanism which makes a development proposal acceptable in planning terms that would not otherwise be  acceptable</w:t>
            </w:r>
          </w:p>
        </w:tc>
      </w:tr>
      <w:tr w:rsidRPr="00C81839" w:rsidR="00340994" w:rsidTr="007A2718" w14:paraId="770D1F07" w14:textId="77777777">
        <w:trPr>
          <w:cantSplit/>
        </w:trPr>
        <w:tc>
          <w:tcPr>
            <w:tcW w:w="2557" w:type="dxa"/>
          </w:tcPr>
          <w:p w:rsidRPr="00C81839" w:rsidR="00340994" w:rsidP="00A70409" w:rsidRDefault="00340994" w14:paraId="6AFD8014" w14:textId="77777777">
            <w:pPr>
              <w:rPr>
                <w:rFonts w:ascii="Arial" w:hAnsi="Arial" w:cs="Arial"/>
                <w:sz w:val="22"/>
                <w:szCs w:val="22"/>
              </w:rPr>
            </w:pPr>
            <w:r w:rsidRPr="00C81839">
              <w:rPr>
                <w:rFonts w:ascii="Arial" w:hAnsi="Arial" w:cs="Arial"/>
                <w:sz w:val="22"/>
                <w:szCs w:val="22"/>
              </w:rPr>
              <w:t>Consumer Price Index (CPI)</w:t>
            </w:r>
          </w:p>
        </w:tc>
        <w:tc>
          <w:tcPr>
            <w:tcW w:w="6685" w:type="dxa"/>
          </w:tcPr>
          <w:p w:rsidRPr="00C81839" w:rsidR="00340994" w:rsidP="00A70409" w:rsidRDefault="00340994" w14:paraId="1A277701" w14:textId="77777777">
            <w:pPr>
              <w:rPr>
                <w:rFonts w:ascii="Arial" w:hAnsi="Arial" w:cs="Arial"/>
                <w:sz w:val="22"/>
                <w:szCs w:val="22"/>
              </w:rPr>
            </w:pPr>
            <w:r w:rsidRPr="00C81839">
              <w:rPr>
                <w:rFonts w:ascii="Arial" w:hAnsi="Arial" w:cs="Arial"/>
                <w:sz w:val="22"/>
                <w:szCs w:val="22"/>
              </w:rPr>
              <w:t xml:space="preserve">A </w:t>
            </w:r>
            <w:hyperlink w:history="1" r:id="rId18">
              <w:r w:rsidRPr="00C81839">
                <w:rPr>
                  <w:rFonts w:ascii="Arial" w:hAnsi="Arial" w:cs="Arial"/>
                  <w:sz w:val="22"/>
                  <w:szCs w:val="22"/>
                </w:rPr>
                <w:t>measure</w:t>
              </w:r>
            </w:hyperlink>
            <w:r w:rsidRPr="00C81839">
              <w:rPr>
                <w:rFonts w:ascii="Arial" w:hAnsi="Arial" w:cs="Arial"/>
                <w:sz w:val="22"/>
                <w:szCs w:val="22"/>
              </w:rPr>
              <w:t xml:space="preserve"> of </w:t>
            </w:r>
            <w:hyperlink w:history="1" r:id="rId19">
              <w:r w:rsidRPr="00C81839">
                <w:rPr>
                  <w:rFonts w:ascii="Arial" w:hAnsi="Arial" w:cs="Arial"/>
                  <w:sz w:val="22"/>
                  <w:szCs w:val="22"/>
                </w:rPr>
                <w:t>changes</w:t>
              </w:r>
            </w:hyperlink>
            <w:r w:rsidRPr="00C81839">
              <w:rPr>
                <w:rFonts w:ascii="Arial" w:hAnsi="Arial" w:cs="Arial"/>
                <w:sz w:val="22"/>
                <w:szCs w:val="22"/>
              </w:rPr>
              <w:t xml:space="preserve"> in the purchasing-power of a </w:t>
            </w:r>
            <w:hyperlink w:history="1" r:id="rId20">
              <w:r w:rsidRPr="00C81839">
                <w:rPr>
                  <w:rFonts w:ascii="Arial" w:hAnsi="Arial" w:cs="Arial"/>
                  <w:sz w:val="22"/>
                  <w:szCs w:val="22"/>
                </w:rPr>
                <w:t>currency</w:t>
              </w:r>
            </w:hyperlink>
            <w:r w:rsidRPr="00C81839">
              <w:rPr>
                <w:rFonts w:ascii="Arial" w:hAnsi="Arial" w:cs="Arial"/>
                <w:sz w:val="22"/>
                <w:szCs w:val="22"/>
              </w:rPr>
              <w:t xml:space="preserve"> and the </w:t>
            </w:r>
            <w:hyperlink w:history="1" r:id="rId21">
              <w:r w:rsidRPr="00C81839">
                <w:rPr>
                  <w:rFonts w:ascii="Arial" w:hAnsi="Arial" w:cs="Arial"/>
                  <w:sz w:val="22"/>
                  <w:szCs w:val="22"/>
                </w:rPr>
                <w:t>rate of inflation</w:t>
              </w:r>
            </w:hyperlink>
            <w:r w:rsidRPr="00C81839">
              <w:rPr>
                <w:rFonts w:ascii="Arial" w:hAnsi="Arial" w:cs="Arial"/>
                <w:sz w:val="22"/>
                <w:szCs w:val="22"/>
              </w:rPr>
              <w:t xml:space="preserve">. The consumer price index expresses the </w:t>
            </w:r>
            <w:hyperlink w:history="1" r:id="rId22">
              <w:r w:rsidRPr="00C81839">
                <w:rPr>
                  <w:rFonts w:ascii="Arial" w:hAnsi="Arial" w:cs="Arial"/>
                  <w:sz w:val="22"/>
                  <w:szCs w:val="22"/>
                </w:rPr>
                <w:t>current</w:t>
              </w:r>
            </w:hyperlink>
            <w:r w:rsidRPr="00C81839">
              <w:rPr>
                <w:rFonts w:ascii="Arial" w:hAnsi="Arial" w:cs="Arial"/>
                <w:sz w:val="22"/>
                <w:szCs w:val="22"/>
              </w:rPr>
              <w:t xml:space="preserve"> </w:t>
            </w:r>
            <w:hyperlink w:history="1" r:id="rId23">
              <w:r w:rsidRPr="00C81839">
                <w:rPr>
                  <w:rFonts w:ascii="Arial" w:hAnsi="Arial" w:cs="Arial"/>
                  <w:sz w:val="22"/>
                  <w:szCs w:val="22"/>
                </w:rPr>
                <w:t>prices</w:t>
              </w:r>
            </w:hyperlink>
            <w:r w:rsidRPr="00C81839">
              <w:rPr>
                <w:rFonts w:ascii="Arial" w:hAnsi="Arial" w:cs="Arial"/>
                <w:sz w:val="22"/>
                <w:szCs w:val="22"/>
              </w:rPr>
              <w:t xml:space="preserve"> of a </w:t>
            </w:r>
            <w:hyperlink w:history="1" r:id="rId24">
              <w:r w:rsidRPr="00C81839">
                <w:rPr>
                  <w:rFonts w:ascii="Arial" w:hAnsi="Arial" w:cs="Arial"/>
                  <w:sz w:val="22"/>
                  <w:szCs w:val="22"/>
                </w:rPr>
                <w:t>basket of goods</w:t>
              </w:r>
            </w:hyperlink>
            <w:r w:rsidRPr="00C81839">
              <w:rPr>
                <w:rFonts w:ascii="Arial" w:hAnsi="Arial" w:cs="Arial"/>
                <w:sz w:val="22"/>
                <w:szCs w:val="22"/>
              </w:rPr>
              <w:t xml:space="preserve"> and </w:t>
            </w:r>
            <w:hyperlink w:history="1" r:id="rId25">
              <w:r w:rsidRPr="00C81839">
                <w:rPr>
                  <w:rFonts w:ascii="Arial" w:hAnsi="Arial" w:cs="Arial"/>
                  <w:sz w:val="22"/>
                  <w:szCs w:val="22"/>
                </w:rPr>
                <w:t>services</w:t>
              </w:r>
            </w:hyperlink>
            <w:r w:rsidRPr="00C81839">
              <w:rPr>
                <w:rFonts w:ascii="Arial" w:hAnsi="Arial" w:cs="Arial"/>
                <w:sz w:val="22"/>
                <w:szCs w:val="22"/>
              </w:rPr>
              <w:t xml:space="preserve"> in </w:t>
            </w:r>
            <w:hyperlink w:history="1" r:id="rId26">
              <w:r w:rsidRPr="00C81839">
                <w:rPr>
                  <w:rFonts w:ascii="Arial" w:hAnsi="Arial" w:cs="Arial"/>
                  <w:sz w:val="22"/>
                  <w:szCs w:val="22"/>
                </w:rPr>
                <w:t>terms</w:t>
              </w:r>
            </w:hyperlink>
            <w:r w:rsidRPr="00C81839">
              <w:rPr>
                <w:rFonts w:ascii="Arial" w:hAnsi="Arial" w:cs="Arial"/>
                <w:sz w:val="22"/>
                <w:szCs w:val="22"/>
              </w:rPr>
              <w:t xml:space="preserve"> of the prices during the same </w:t>
            </w:r>
            <w:hyperlink w:history="1" r:id="rId27">
              <w:r w:rsidRPr="00C81839">
                <w:rPr>
                  <w:rFonts w:ascii="Arial" w:hAnsi="Arial" w:cs="Arial"/>
                  <w:sz w:val="22"/>
                  <w:szCs w:val="22"/>
                </w:rPr>
                <w:t>period</w:t>
              </w:r>
            </w:hyperlink>
            <w:r w:rsidRPr="00C81839">
              <w:rPr>
                <w:rFonts w:ascii="Arial" w:hAnsi="Arial" w:cs="Arial"/>
                <w:sz w:val="22"/>
                <w:szCs w:val="22"/>
              </w:rPr>
              <w:t xml:space="preserve"> in a previous year, to show effect of </w:t>
            </w:r>
            <w:hyperlink w:history="1" r:id="rId28">
              <w:r w:rsidRPr="00C81839">
                <w:rPr>
                  <w:rFonts w:ascii="Arial" w:hAnsi="Arial" w:cs="Arial"/>
                  <w:sz w:val="22"/>
                  <w:szCs w:val="22"/>
                </w:rPr>
                <w:t>inflation</w:t>
              </w:r>
            </w:hyperlink>
            <w:r w:rsidRPr="00C81839">
              <w:rPr>
                <w:rFonts w:ascii="Arial" w:hAnsi="Arial" w:cs="Arial"/>
                <w:sz w:val="22"/>
                <w:szCs w:val="22"/>
              </w:rPr>
              <w:t xml:space="preserve"> on </w:t>
            </w:r>
            <w:hyperlink w:history="1" r:id="rId29">
              <w:r w:rsidRPr="00C81839">
                <w:rPr>
                  <w:rFonts w:ascii="Arial" w:hAnsi="Arial" w:cs="Arial"/>
                  <w:sz w:val="22"/>
                  <w:szCs w:val="22"/>
                </w:rPr>
                <w:t>purchasing power</w:t>
              </w:r>
            </w:hyperlink>
            <w:r w:rsidRPr="00C81839">
              <w:rPr>
                <w:rFonts w:ascii="Arial" w:hAnsi="Arial" w:cs="Arial"/>
                <w:sz w:val="22"/>
                <w:szCs w:val="22"/>
              </w:rPr>
              <w:t>.</w:t>
            </w:r>
            <w:r w:rsidRPr="00C81839">
              <w:rPr>
                <w:rFonts w:ascii="Arial" w:hAnsi="Arial" w:cs="Arial"/>
                <w:color w:val="000000"/>
                <w:sz w:val="22"/>
                <w:szCs w:val="22"/>
              </w:rPr>
              <w:t xml:space="preserve"> </w:t>
            </w:r>
            <w:r w:rsidRPr="00C81839">
              <w:rPr>
                <w:rFonts w:ascii="Arial" w:hAnsi="Arial" w:cs="Arial"/>
                <w:color w:val="000000"/>
                <w:sz w:val="22"/>
                <w:szCs w:val="22"/>
              </w:rPr>
              <w:br/>
            </w:r>
          </w:p>
        </w:tc>
      </w:tr>
      <w:tr w:rsidRPr="00C81839" w:rsidR="00340994" w:rsidTr="007A2718" w14:paraId="637BF71D" w14:textId="77777777">
        <w:trPr>
          <w:cantSplit/>
        </w:trPr>
        <w:tc>
          <w:tcPr>
            <w:tcW w:w="2557" w:type="dxa"/>
          </w:tcPr>
          <w:p w:rsidRPr="00C81839" w:rsidR="00340994" w:rsidP="00A70409" w:rsidRDefault="00340994" w14:paraId="4D6C3C30" w14:textId="77777777">
            <w:pPr>
              <w:rPr>
                <w:rFonts w:ascii="Arial" w:hAnsi="Arial" w:cs="Arial"/>
                <w:sz w:val="22"/>
                <w:szCs w:val="22"/>
              </w:rPr>
            </w:pPr>
            <w:r w:rsidRPr="00C81839">
              <w:rPr>
                <w:rFonts w:ascii="Arial" w:hAnsi="Arial" w:cs="Arial"/>
                <w:sz w:val="22"/>
                <w:szCs w:val="22"/>
              </w:rPr>
              <w:t>DASH (Domestic abuse, stalking and harassment and honour based violence risk identification, assessment and management model)</w:t>
            </w:r>
          </w:p>
        </w:tc>
        <w:tc>
          <w:tcPr>
            <w:tcW w:w="6685" w:type="dxa"/>
          </w:tcPr>
          <w:p w:rsidRPr="00C81839" w:rsidR="00340994" w:rsidP="00A70409" w:rsidRDefault="00340994" w14:paraId="4C4DE5F6" w14:textId="77777777">
            <w:pPr>
              <w:rPr>
                <w:rFonts w:ascii="Arial" w:hAnsi="Arial" w:cs="Arial"/>
                <w:sz w:val="22"/>
                <w:szCs w:val="22"/>
              </w:rPr>
            </w:pPr>
            <w:r w:rsidRPr="00C81839">
              <w:rPr>
                <w:rFonts w:ascii="Arial" w:hAnsi="Arial" w:cs="Arial"/>
                <w:sz w:val="22"/>
                <w:szCs w:val="22"/>
              </w:rPr>
              <w:t>Common checklist for identifying and assessing risk for use by practi</w:t>
            </w:r>
            <w:r w:rsidR="000D516A">
              <w:rPr>
                <w:rFonts w:ascii="Arial" w:hAnsi="Arial" w:cs="Arial"/>
                <w:sz w:val="22"/>
                <w:szCs w:val="22"/>
              </w:rPr>
              <w:t>ti</w:t>
            </w:r>
            <w:r w:rsidRPr="00C81839">
              <w:rPr>
                <w:rFonts w:ascii="Arial" w:hAnsi="Arial" w:cs="Arial"/>
                <w:sz w:val="22"/>
                <w:szCs w:val="22"/>
              </w:rPr>
              <w:t>oners.</w:t>
            </w:r>
          </w:p>
        </w:tc>
      </w:tr>
      <w:tr w:rsidRPr="00C81839" w:rsidR="00340994" w:rsidTr="007A2718" w14:paraId="050384FD" w14:textId="77777777">
        <w:trPr>
          <w:cantSplit/>
        </w:trPr>
        <w:tc>
          <w:tcPr>
            <w:tcW w:w="2557" w:type="dxa"/>
          </w:tcPr>
          <w:p w:rsidRPr="00C81839" w:rsidR="00340994" w:rsidP="00A70409" w:rsidRDefault="00340994" w14:paraId="25C41131" w14:textId="77777777">
            <w:pPr>
              <w:rPr>
                <w:rFonts w:ascii="Arial" w:hAnsi="Arial" w:cs="Arial"/>
                <w:sz w:val="22"/>
                <w:szCs w:val="22"/>
              </w:rPr>
            </w:pPr>
            <w:r w:rsidRPr="00C81839">
              <w:rPr>
                <w:rFonts w:ascii="Arial" w:hAnsi="Arial" w:cs="Arial"/>
                <w:sz w:val="22"/>
                <w:szCs w:val="22"/>
              </w:rPr>
              <w:t>Discretionary Housing Payments (DHP)</w:t>
            </w:r>
          </w:p>
        </w:tc>
        <w:tc>
          <w:tcPr>
            <w:tcW w:w="6685" w:type="dxa"/>
          </w:tcPr>
          <w:p w:rsidRPr="00C81839" w:rsidR="00340994" w:rsidP="00A70409" w:rsidRDefault="00340994" w14:paraId="6DD44FBA" w14:textId="77777777">
            <w:pPr>
              <w:rPr>
                <w:rFonts w:ascii="Arial" w:hAnsi="Arial" w:cs="Arial"/>
                <w:sz w:val="22"/>
                <w:szCs w:val="22"/>
              </w:rPr>
            </w:pPr>
            <w:r w:rsidRPr="00C81839">
              <w:rPr>
                <w:rFonts w:ascii="Arial" w:hAnsi="Arial" w:cs="Arial"/>
                <w:sz w:val="22"/>
                <w:szCs w:val="22"/>
              </w:rPr>
              <w:t>Local housing authorities have the ability to authorise DHP to those who may require some financial assistance in order to meet their housing costs.</w:t>
            </w:r>
          </w:p>
        </w:tc>
      </w:tr>
      <w:tr w:rsidRPr="00C81839" w:rsidR="00340994" w:rsidTr="007A2718" w14:paraId="0A888E34" w14:textId="77777777">
        <w:trPr>
          <w:cantSplit/>
        </w:trPr>
        <w:tc>
          <w:tcPr>
            <w:tcW w:w="2557" w:type="dxa"/>
          </w:tcPr>
          <w:p w:rsidRPr="00C81839" w:rsidR="00340994" w:rsidP="00A70409" w:rsidRDefault="00340994" w14:paraId="73119F78" w14:textId="77777777">
            <w:pPr>
              <w:rPr>
                <w:rFonts w:ascii="Arial" w:hAnsi="Arial" w:cs="Arial"/>
                <w:sz w:val="22"/>
                <w:szCs w:val="22"/>
              </w:rPr>
            </w:pPr>
            <w:r w:rsidRPr="00C81839">
              <w:rPr>
                <w:rFonts w:ascii="Arial" w:hAnsi="Arial" w:cs="Arial"/>
                <w:sz w:val="22"/>
                <w:szCs w:val="22"/>
              </w:rPr>
              <w:lastRenderedPageBreak/>
              <w:t>Duty to Refer</w:t>
            </w:r>
          </w:p>
        </w:tc>
        <w:tc>
          <w:tcPr>
            <w:tcW w:w="6685" w:type="dxa"/>
          </w:tcPr>
          <w:p w:rsidRPr="00C81839" w:rsidR="00340994" w:rsidP="00A70409" w:rsidRDefault="00340994" w14:paraId="061FBC54" w14:textId="77777777">
            <w:pPr>
              <w:rPr>
                <w:rFonts w:ascii="Arial" w:hAnsi="Arial" w:cs="Arial"/>
                <w:color w:val="333333"/>
                <w:sz w:val="22"/>
                <w:szCs w:val="22"/>
              </w:rPr>
            </w:pPr>
            <w:r w:rsidRPr="00C81839">
              <w:rPr>
                <w:rFonts w:ascii="Arial" w:hAnsi="Arial" w:cs="Arial"/>
                <w:color w:val="222222"/>
                <w:sz w:val="22"/>
                <w:szCs w:val="22"/>
              </w:rPr>
              <w:t xml:space="preserve">A formal duty placed on public bodies under the Homelessness Reduction Act 2017 to refer individuals or are homeless or threatened with homelessness into a local authority of the individuals choosing. Public bodies are; </w:t>
            </w:r>
            <w:r w:rsidRPr="00C81839">
              <w:rPr>
                <w:rFonts w:ascii="Arial" w:hAnsi="Arial" w:cs="Arial"/>
                <w:color w:val="333333"/>
                <w:sz w:val="22"/>
                <w:szCs w:val="22"/>
              </w:rPr>
              <w:t>prisons (public and contracted out); youth offender institutions and youth offending teams; secure training centres (public and contracted out) and colleges; probation services (community rehabilitation companies and national probation service); jobcentre plus; accident and emergency; services provided in a hospital; urgent treatment centres; and hospitals in their capacity of providing in-patient treatment; social service authorities.</w:t>
            </w:r>
          </w:p>
        </w:tc>
      </w:tr>
      <w:tr w:rsidRPr="00C81839" w:rsidR="00340994" w:rsidTr="007A2718" w14:paraId="0B9876B1" w14:textId="77777777">
        <w:trPr>
          <w:cantSplit/>
        </w:trPr>
        <w:tc>
          <w:tcPr>
            <w:tcW w:w="2557" w:type="dxa"/>
          </w:tcPr>
          <w:p w:rsidRPr="00C81839" w:rsidR="00340994" w:rsidP="00A70409" w:rsidRDefault="00340994" w14:paraId="33C41065" w14:textId="77777777">
            <w:pPr>
              <w:rPr>
                <w:rFonts w:ascii="Arial" w:hAnsi="Arial" w:cs="Arial"/>
                <w:sz w:val="22"/>
                <w:szCs w:val="22"/>
              </w:rPr>
            </w:pPr>
            <w:r w:rsidRPr="00C81839">
              <w:rPr>
                <w:rFonts w:ascii="Arial" w:hAnsi="Arial" w:cs="Arial"/>
                <w:sz w:val="22"/>
                <w:szCs w:val="22"/>
              </w:rPr>
              <w:t>Early Help and Family Support</w:t>
            </w:r>
          </w:p>
          <w:p w:rsidRPr="00C81839" w:rsidR="00340994" w:rsidP="00A70409" w:rsidRDefault="00340994" w14:paraId="03B5D2AE" w14:textId="77777777">
            <w:pPr>
              <w:rPr>
                <w:rFonts w:ascii="Arial" w:hAnsi="Arial" w:cs="Arial"/>
                <w:sz w:val="22"/>
                <w:szCs w:val="22"/>
              </w:rPr>
            </w:pPr>
          </w:p>
        </w:tc>
        <w:tc>
          <w:tcPr>
            <w:tcW w:w="6685" w:type="dxa"/>
          </w:tcPr>
          <w:p w:rsidRPr="00C81839" w:rsidR="00340994" w:rsidP="00A70409" w:rsidRDefault="00340994" w14:paraId="71600478" w14:textId="77777777">
            <w:pPr>
              <w:rPr>
                <w:rFonts w:ascii="Arial" w:hAnsi="Arial" w:cs="Arial"/>
                <w:color w:val="222222"/>
                <w:sz w:val="22"/>
                <w:szCs w:val="22"/>
              </w:rPr>
            </w:pPr>
            <w:r w:rsidRPr="00C81839">
              <w:rPr>
                <w:rFonts w:ascii="Arial" w:hAnsi="Arial" w:cs="Arial"/>
                <w:color w:val="222222"/>
                <w:sz w:val="22"/>
                <w:szCs w:val="22"/>
              </w:rPr>
              <w:t>Giving the right help to children and their families at the earliest opportunity. For those who need more help than their usual support network but do not meet the criteria for formal intervention within Children’s Services</w:t>
            </w:r>
          </w:p>
        </w:tc>
      </w:tr>
      <w:tr w:rsidRPr="00C81839" w:rsidR="00340994" w:rsidTr="007A2718" w14:paraId="7A560747" w14:textId="77777777">
        <w:trPr>
          <w:cantSplit/>
        </w:trPr>
        <w:tc>
          <w:tcPr>
            <w:tcW w:w="2557" w:type="dxa"/>
          </w:tcPr>
          <w:p w:rsidRPr="00C81839" w:rsidR="00340994" w:rsidP="00A70409" w:rsidRDefault="00340994" w14:paraId="730E2AF5" w14:textId="77777777">
            <w:pPr>
              <w:rPr>
                <w:rFonts w:ascii="Arial" w:hAnsi="Arial" w:cs="Arial"/>
                <w:sz w:val="22"/>
                <w:szCs w:val="22"/>
              </w:rPr>
            </w:pPr>
            <w:r w:rsidRPr="00C81839">
              <w:rPr>
                <w:rFonts w:ascii="Arial" w:hAnsi="Arial" w:cs="Arial"/>
                <w:sz w:val="22"/>
                <w:szCs w:val="22"/>
              </w:rPr>
              <w:t>First Step</w:t>
            </w:r>
          </w:p>
        </w:tc>
        <w:tc>
          <w:tcPr>
            <w:tcW w:w="6685" w:type="dxa"/>
          </w:tcPr>
          <w:p w:rsidRPr="00C81839" w:rsidR="00340994" w:rsidP="00A70409" w:rsidRDefault="00340994" w14:paraId="0192DDDD" w14:textId="77777777">
            <w:pPr>
              <w:rPr>
                <w:rFonts w:ascii="Arial" w:hAnsi="Arial" w:cs="Arial"/>
                <w:color w:val="222222"/>
                <w:sz w:val="22"/>
                <w:szCs w:val="22"/>
              </w:rPr>
            </w:pPr>
            <w:r w:rsidRPr="00C81839">
              <w:rPr>
                <w:rFonts w:ascii="Arial" w:hAnsi="Arial" w:cs="Arial"/>
                <w:color w:val="222222"/>
                <w:sz w:val="22"/>
                <w:szCs w:val="22"/>
              </w:rPr>
              <w:t>The Rough Sleeping Service available in South Norfolk and Broadland. Provision of short-term accommodation and support provided by Rough Sleeping Coordinators</w:t>
            </w:r>
          </w:p>
        </w:tc>
      </w:tr>
      <w:tr w:rsidRPr="00C81839" w:rsidR="00340994" w:rsidTr="007A2718" w14:paraId="59B650C6" w14:textId="77777777">
        <w:trPr>
          <w:cantSplit/>
        </w:trPr>
        <w:tc>
          <w:tcPr>
            <w:tcW w:w="2557" w:type="dxa"/>
          </w:tcPr>
          <w:p w:rsidRPr="00C81839" w:rsidR="00340994" w:rsidP="00A70409" w:rsidRDefault="00340994" w14:paraId="51621E23" w14:textId="77777777">
            <w:pPr>
              <w:rPr>
                <w:rFonts w:ascii="Arial" w:hAnsi="Arial" w:cs="Arial"/>
                <w:sz w:val="22"/>
                <w:szCs w:val="22"/>
              </w:rPr>
            </w:pPr>
            <w:r w:rsidRPr="00C81839">
              <w:rPr>
                <w:rFonts w:ascii="Arial" w:hAnsi="Arial" w:cs="Arial"/>
                <w:sz w:val="22"/>
                <w:szCs w:val="22"/>
              </w:rPr>
              <w:t>Greater Norwich Homelessness Forum</w:t>
            </w:r>
          </w:p>
        </w:tc>
        <w:tc>
          <w:tcPr>
            <w:tcW w:w="6685" w:type="dxa"/>
          </w:tcPr>
          <w:p w:rsidRPr="00C81839" w:rsidR="00340994" w:rsidP="00A70409" w:rsidRDefault="00340994" w14:paraId="3C2B06F2" w14:textId="77777777">
            <w:pPr>
              <w:rPr>
                <w:rFonts w:ascii="Arial" w:hAnsi="Arial" w:cs="Arial"/>
                <w:color w:val="222222"/>
                <w:sz w:val="22"/>
                <w:szCs w:val="22"/>
              </w:rPr>
            </w:pPr>
            <w:r w:rsidRPr="00C81839">
              <w:rPr>
                <w:rFonts w:ascii="Arial" w:hAnsi="Arial" w:cs="Arial"/>
                <w:color w:val="222222"/>
                <w:sz w:val="22"/>
                <w:szCs w:val="22"/>
              </w:rPr>
              <w:t xml:space="preserve">Quarterly forum held by Norwich City and Broadland &amp; South Norfolk Councils. Representatives attend from statutory, commissioned and VCSE organisations. The forum will be the mechanism through which the strategy is monitored. </w:t>
            </w:r>
          </w:p>
        </w:tc>
      </w:tr>
      <w:tr w:rsidRPr="00C81839" w:rsidR="00340994" w:rsidTr="007A2718" w14:paraId="5AF77BF4" w14:textId="77777777">
        <w:trPr>
          <w:cantSplit/>
        </w:trPr>
        <w:tc>
          <w:tcPr>
            <w:tcW w:w="2557" w:type="dxa"/>
          </w:tcPr>
          <w:p w:rsidRPr="004332FF" w:rsidR="00340994" w:rsidP="00A70409" w:rsidRDefault="00340994" w14:paraId="4245941F" w14:textId="77777777">
            <w:pPr>
              <w:rPr>
                <w:rFonts w:ascii="Arial" w:hAnsi="Arial" w:cs="Arial"/>
                <w:sz w:val="22"/>
                <w:szCs w:val="20"/>
              </w:rPr>
            </w:pPr>
            <w:r w:rsidRPr="004332FF">
              <w:rPr>
                <w:rFonts w:ascii="Arial" w:hAnsi="Arial" w:cs="Arial"/>
                <w:sz w:val="22"/>
                <w:szCs w:val="22"/>
              </w:rPr>
              <w:t>Greater Norwich Local Plan 2018-2038 (GNLP)</w:t>
            </w:r>
          </w:p>
        </w:tc>
        <w:tc>
          <w:tcPr>
            <w:tcW w:w="6685" w:type="dxa"/>
          </w:tcPr>
          <w:p w:rsidRPr="004332FF" w:rsidR="00340994" w:rsidP="00A70409" w:rsidRDefault="00340994" w14:paraId="02503B16" w14:textId="77777777">
            <w:pPr>
              <w:rPr>
                <w:rFonts w:ascii="Arial" w:hAnsi="Arial" w:cs="Arial"/>
                <w:color w:val="222222"/>
                <w:sz w:val="22"/>
                <w:szCs w:val="20"/>
              </w:rPr>
            </w:pPr>
            <w:r w:rsidRPr="004332FF">
              <w:rPr>
                <w:rFonts w:ascii="Arial" w:hAnsi="Arial" w:cs="Arial"/>
                <w:color w:val="222222"/>
                <w:sz w:val="22"/>
                <w:szCs w:val="22"/>
              </w:rPr>
              <w:t>The Greater Norwich Local Plan (GNLP) is being produced by Broadland District Council, Norwich City Council and South Norfolk Council working together with Norfolk County Council through the Greater Norwich Development Partnership (GNDP). It includes policies which will be used to determine planning applications in the Greater Norwich area and will identify sites for new homes, jobs, community facilities and infrastructure</w:t>
            </w:r>
          </w:p>
        </w:tc>
      </w:tr>
      <w:tr w:rsidRPr="00C81839" w:rsidR="00340994" w:rsidTr="007A2718" w14:paraId="6D5300BD" w14:textId="77777777">
        <w:trPr>
          <w:cantSplit/>
        </w:trPr>
        <w:tc>
          <w:tcPr>
            <w:tcW w:w="2557" w:type="dxa"/>
          </w:tcPr>
          <w:p w:rsidRPr="00C81839" w:rsidR="00340994" w:rsidP="00A70409" w:rsidRDefault="00340994" w14:paraId="635B2BFD" w14:textId="77777777">
            <w:pPr>
              <w:rPr>
                <w:rFonts w:ascii="Arial" w:hAnsi="Arial" w:cs="Arial"/>
                <w:sz w:val="22"/>
                <w:szCs w:val="22"/>
              </w:rPr>
            </w:pPr>
            <w:r w:rsidRPr="00C81839">
              <w:rPr>
                <w:rFonts w:ascii="Arial" w:hAnsi="Arial" w:cs="Arial"/>
                <w:sz w:val="22"/>
                <w:szCs w:val="22"/>
              </w:rPr>
              <w:t>Health and Wellbeing Boards</w:t>
            </w:r>
          </w:p>
        </w:tc>
        <w:tc>
          <w:tcPr>
            <w:tcW w:w="6685" w:type="dxa"/>
          </w:tcPr>
          <w:p w:rsidRPr="00C81839" w:rsidR="00340994" w:rsidP="00A70409" w:rsidRDefault="00340994" w14:paraId="3BB36C6A" w14:textId="77777777">
            <w:pPr>
              <w:rPr>
                <w:rFonts w:ascii="Arial" w:hAnsi="Arial" w:cs="Arial"/>
                <w:color w:val="222222"/>
                <w:sz w:val="22"/>
                <w:szCs w:val="22"/>
              </w:rPr>
            </w:pPr>
            <w:r w:rsidRPr="00C81839">
              <w:rPr>
                <w:rFonts w:ascii="Arial" w:hAnsi="Arial" w:cs="Arial"/>
                <w:color w:val="222222"/>
                <w:sz w:val="22"/>
                <w:szCs w:val="22"/>
              </w:rPr>
              <w:t>Statutory bodies introduced in England under the Health and Social Care Act 2012. According to the Act, each upper-tier local authority in England is required to form a health and wellbeing board as a committee of that authority.</w:t>
            </w:r>
          </w:p>
        </w:tc>
      </w:tr>
      <w:tr w:rsidRPr="00C81839" w:rsidR="00340994" w:rsidTr="007A2718" w14:paraId="199573CB" w14:textId="77777777">
        <w:trPr>
          <w:cantSplit/>
        </w:trPr>
        <w:tc>
          <w:tcPr>
            <w:tcW w:w="2557" w:type="dxa"/>
          </w:tcPr>
          <w:p w:rsidRPr="00C81839" w:rsidR="00340994" w:rsidP="00A70409" w:rsidRDefault="00340994" w14:paraId="24503185" w14:textId="77777777">
            <w:pPr>
              <w:rPr>
                <w:rFonts w:ascii="Arial" w:hAnsi="Arial" w:cs="Arial"/>
                <w:sz w:val="22"/>
                <w:szCs w:val="22"/>
              </w:rPr>
            </w:pPr>
            <w:r w:rsidRPr="00C81839">
              <w:rPr>
                <w:rFonts w:ascii="Arial" w:hAnsi="Arial" w:cs="Arial"/>
                <w:sz w:val="22"/>
                <w:szCs w:val="22"/>
              </w:rPr>
              <w:t>Help Hubs</w:t>
            </w:r>
          </w:p>
        </w:tc>
        <w:tc>
          <w:tcPr>
            <w:tcW w:w="6685" w:type="dxa"/>
          </w:tcPr>
          <w:p w:rsidRPr="00C81839" w:rsidR="00340994" w:rsidP="00A70409" w:rsidRDefault="00340994" w14:paraId="338893A8" w14:textId="77777777">
            <w:pPr>
              <w:rPr>
                <w:rFonts w:ascii="Arial" w:hAnsi="Arial" w:cs="Arial"/>
                <w:color w:val="222222"/>
                <w:sz w:val="22"/>
                <w:szCs w:val="22"/>
              </w:rPr>
            </w:pPr>
            <w:r w:rsidRPr="00C81839">
              <w:rPr>
                <w:rFonts w:ascii="Arial" w:hAnsi="Arial" w:cs="Arial"/>
                <w:color w:val="222222"/>
                <w:sz w:val="22"/>
                <w:szCs w:val="22"/>
              </w:rPr>
              <w:t>Areas within local authorities for co-location of local authority and other services, for example; Housing, Children’s Services, Community Safety, Domestic Abuse services, Social Prescribing. Each local authority has a Help Hub but they will differ i</w:t>
            </w:r>
            <w:r>
              <w:rPr>
                <w:rFonts w:ascii="Arial" w:hAnsi="Arial" w:cs="Arial"/>
                <w:color w:val="222222"/>
                <w:sz w:val="22"/>
                <w:szCs w:val="22"/>
              </w:rPr>
              <w:t>n operation and some of the services offered.</w:t>
            </w:r>
          </w:p>
        </w:tc>
      </w:tr>
      <w:tr w:rsidRPr="00C81839" w:rsidR="00340994" w:rsidTr="007A2718" w14:paraId="1B4858FA" w14:textId="77777777">
        <w:trPr>
          <w:cantSplit/>
        </w:trPr>
        <w:tc>
          <w:tcPr>
            <w:tcW w:w="2557" w:type="dxa"/>
          </w:tcPr>
          <w:p w:rsidRPr="00C81839" w:rsidR="00340994" w:rsidP="00A70409" w:rsidRDefault="00340994" w14:paraId="1587EB78" w14:textId="77777777">
            <w:pPr>
              <w:rPr>
                <w:rFonts w:ascii="Arial" w:hAnsi="Arial" w:cs="Arial"/>
                <w:sz w:val="22"/>
                <w:szCs w:val="22"/>
                <w:highlight w:val="yellow"/>
              </w:rPr>
            </w:pPr>
            <w:r w:rsidRPr="00C81839">
              <w:rPr>
                <w:rFonts w:ascii="Arial" w:hAnsi="Arial" w:cs="Arial"/>
                <w:sz w:val="22"/>
                <w:szCs w:val="22"/>
              </w:rPr>
              <w:t>Homelessness Reduction Act 2017</w:t>
            </w:r>
          </w:p>
        </w:tc>
        <w:tc>
          <w:tcPr>
            <w:tcW w:w="6685" w:type="dxa"/>
          </w:tcPr>
          <w:p w:rsidRPr="00413628" w:rsidR="00340994" w:rsidP="00A70409" w:rsidRDefault="00340994" w14:paraId="1A612154" w14:textId="77777777">
            <w:pPr>
              <w:rPr>
                <w:rFonts w:ascii="Arial" w:hAnsi="Arial" w:cs="Arial"/>
                <w:color w:val="222222"/>
                <w:sz w:val="22"/>
                <w:szCs w:val="22"/>
              </w:rPr>
            </w:pPr>
            <w:r w:rsidRPr="00C81839">
              <w:rPr>
                <w:rFonts w:ascii="Arial" w:hAnsi="Arial" w:cs="Arial"/>
                <w:color w:val="222222"/>
                <w:sz w:val="22"/>
                <w:szCs w:val="22"/>
              </w:rPr>
              <w:t>Places additional duties on local authorities; provide advice and guidance for all households approaching the LA and</w:t>
            </w:r>
            <w:r w:rsidRPr="00C81839">
              <w:rPr>
                <w:rFonts w:ascii="Arial" w:hAnsi="Arial" w:cs="Arial"/>
                <w:sz w:val="22"/>
                <w:szCs w:val="22"/>
              </w:rPr>
              <w:t xml:space="preserve"> </w:t>
            </w:r>
            <w:r w:rsidRPr="00C81839">
              <w:rPr>
                <w:rFonts w:ascii="Arial" w:hAnsi="Arial" w:cs="Arial"/>
                <w:color w:val="222222"/>
                <w:sz w:val="22"/>
                <w:szCs w:val="22"/>
              </w:rPr>
              <w:t xml:space="preserve">to meet the needs of certain listed groups including those leaving prison, hospital or care and those with mental health issues ; to </w:t>
            </w:r>
            <w:r w:rsidRPr="00C81839">
              <w:rPr>
                <w:rFonts w:ascii="Arial" w:hAnsi="Arial" w:cs="Arial"/>
                <w:b/>
                <w:color w:val="222222"/>
                <w:sz w:val="22"/>
                <w:szCs w:val="22"/>
              </w:rPr>
              <w:t>prevent</w:t>
            </w:r>
            <w:r w:rsidRPr="00C81839">
              <w:rPr>
                <w:rFonts w:ascii="Arial" w:hAnsi="Arial" w:cs="Arial"/>
                <w:color w:val="222222"/>
                <w:sz w:val="22"/>
                <w:szCs w:val="22"/>
              </w:rPr>
              <w:t xml:space="preserve"> those threatened with homelessness from becoming homeless; to </w:t>
            </w:r>
            <w:r w:rsidRPr="00C81839">
              <w:rPr>
                <w:rFonts w:ascii="Arial" w:hAnsi="Arial" w:cs="Arial"/>
                <w:b/>
                <w:color w:val="222222"/>
                <w:sz w:val="22"/>
                <w:szCs w:val="22"/>
              </w:rPr>
              <w:t>relieve</w:t>
            </w:r>
            <w:r w:rsidRPr="00C81839">
              <w:rPr>
                <w:rFonts w:ascii="Arial" w:hAnsi="Arial" w:cs="Arial"/>
                <w:color w:val="222222"/>
                <w:sz w:val="22"/>
                <w:szCs w:val="22"/>
              </w:rPr>
              <w:t xml:space="preserve"> homelessness for those who are homeless. Both prevention and relief duties last for 56 days but can be ended in several ways in that time</w:t>
            </w:r>
          </w:p>
        </w:tc>
      </w:tr>
      <w:tr w:rsidRPr="00C81839" w:rsidR="00340994" w:rsidTr="007A2718" w14:paraId="58F23F39" w14:textId="77777777">
        <w:trPr>
          <w:cantSplit/>
        </w:trPr>
        <w:tc>
          <w:tcPr>
            <w:tcW w:w="2557" w:type="dxa"/>
          </w:tcPr>
          <w:p w:rsidRPr="00C81839" w:rsidR="00340994" w:rsidP="00A70409" w:rsidRDefault="00340994" w14:paraId="418A30E8" w14:textId="77777777">
            <w:pPr>
              <w:rPr>
                <w:rFonts w:ascii="Arial" w:hAnsi="Arial" w:cs="Arial"/>
                <w:sz w:val="22"/>
                <w:szCs w:val="22"/>
                <w:highlight w:val="yellow"/>
              </w:rPr>
            </w:pPr>
            <w:r w:rsidRPr="00C81839">
              <w:rPr>
                <w:rFonts w:ascii="Arial" w:hAnsi="Arial" w:cs="Arial"/>
                <w:sz w:val="22"/>
                <w:szCs w:val="22"/>
              </w:rPr>
              <w:lastRenderedPageBreak/>
              <w:t>House of Multiple Occupation (HMO)</w:t>
            </w:r>
          </w:p>
        </w:tc>
        <w:tc>
          <w:tcPr>
            <w:tcW w:w="6685" w:type="dxa"/>
          </w:tcPr>
          <w:p w:rsidRPr="00C81839" w:rsidR="00340994" w:rsidP="00A70409" w:rsidRDefault="00340994" w14:paraId="6D83160F" w14:textId="77777777">
            <w:pPr>
              <w:rPr>
                <w:rFonts w:ascii="Arial" w:hAnsi="Arial" w:cs="Arial"/>
                <w:color w:val="222222"/>
                <w:sz w:val="22"/>
                <w:szCs w:val="22"/>
                <w:highlight w:val="yellow"/>
              </w:rPr>
            </w:pPr>
            <w:r w:rsidRPr="00C81839">
              <w:rPr>
                <w:rFonts w:ascii="Arial" w:hAnsi="Arial" w:cs="Arial"/>
                <w:color w:val="222222"/>
                <w:sz w:val="22"/>
                <w:szCs w:val="22"/>
              </w:rPr>
              <w:t xml:space="preserve">A HMO is a building, or part of a </w:t>
            </w:r>
            <w:r w:rsidRPr="00C81839" w:rsidR="000D516A">
              <w:rPr>
                <w:rFonts w:ascii="Arial" w:hAnsi="Arial" w:cs="Arial"/>
                <w:color w:val="222222"/>
                <w:sz w:val="22"/>
                <w:szCs w:val="22"/>
              </w:rPr>
              <w:t>building that</w:t>
            </w:r>
            <w:r w:rsidRPr="00C81839">
              <w:rPr>
                <w:rFonts w:ascii="Arial" w:hAnsi="Arial" w:cs="Arial"/>
                <w:color w:val="222222"/>
                <w:sz w:val="22"/>
                <w:szCs w:val="22"/>
              </w:rPr>
              <w:t xml:space="preserve"> is occupied by persons who do not form a single household - in other words, are not family members. From 1</w:t>
            </w:r>
            <w:r w:rsidRPr="00C81839">
              <w:rPr>
                <w:rFonts w:ascii="Arial" w:hAnsi="Arial" w:cs="Arial"/>
                <w:color w:val="222222"/>
                <w:sz w:val="22"/>
                <w:szCs w:val="22"/>
                <w:vertAlign w:val="superscript"/>
              </w:rPr>
              <w:t>st</w:t>
            </w:r>
            <w:r w:rsidRPr="00C81839">
              <w:rPr>
                <w:rFonts w:ascii="Arial" w:hAnsi="Arial" w:cs="Arial"/>
                <w:color w:val="222222"/>
                <w:sz w:val="22"/>
                <w:szCs w:val="22"/>
              </w:rPr>
              <w:t xml:space="preserve"> October 2018 all HMOs that are let to 5 or more unrelated tenants who form more than one household and who share toilet, bathroom or kitchen facilities require a licence from the local authority</w:t>
            </w:r>
          </w:p>
        </w:tc>
      </w:tr>
      <w:tr w:rsidRPr="00C81839" w:rsidR="00340994" w:rsidTr="007A2718" w14:paraId="3CFA7C1F" w14:textId="77777777">
        <w:trPr>
          <w:cantSplit/>
        </w:trPr>
        <w:tc>
          <w:tcPr>
            <w:tcW w:w="2557" w:type="dxa"/>
          </w:tcPr>
          <w:p w:rsidRPr="00C81839" w:rsidR="00340994" w:rsidP="00A70409" w:rsidRDefault="00340994" w14:paraId="60705E9F" w14:textId="77777777">
            <w:pPr>
              <w:rPr>
                <w:rFonts w:ascii="Arial" w:hAnsi="Arial" w:cs="Arial"/>
                <w:sz w:val="22"/>
                <w:szCs w:val="22"/>
              </w:rPr>
            </w:pPr>
            <w:r w:rsidRPr="00C81839">
              <w:rPr>
                <w:rFonts w:ascii="Arial" w:hAnsi="Arial" w:cs="Arial"/>
                <w:sz w:val="22"/>
                <w:szCs w:val="22"/>
              </w:rPr>
              <w:t>Joint Strategic Needs Assessment (JSNA)</w:t>
            </w:r>
          </w:p>
        </w:tc>
        <w:tc>
          <w:tcPr>
            <w:tcW w:w="6685" w:type="dxa"/>
          </w:tcPr>
          <w:p w:rsidRPr="00C81839" w:rsidR="00340994" w:rsidP="00A70409" w:rsidRDefault="00340994" w14:paraId="51EAEFB3" w14:textId="77777777">
            <w:pPr>
              <w:rPr>
                <w:rFonts w:ascii="Arial" w:hAnsi="Arial" w:cs="Arial"/>
                <w:color w:val="222222"/>
                <w:sz w:val="22"/>
                <w:szCs w:val="22"/>
              </w:rPr>
            </w:pPr>
            <w:r w:rsidRPr="00C81839">
              <w:rPr>
                <w:rFonts w:ascii="Arial" w:hAnsi="Arial" w:cs="Arial"/>
                <w:color w:val="222222"/>
                <w:sz w:val="22"/>
                <w:szCs w:val="22"/>
              </w:rPr>
              <w:t>The means by which CCGs and local authorities describe the future health, care and wellbeing needs of the local populations and to identify the strategic direction of service delivery to meet those needs.</w:t>
            </w:r>
          </w:p>
        </w:tc>
      </w:tr>
      <w:tr w:rsidRPr="00C81839" w:rsidR="00340994" w:rsidTr="007A2718" w14:paraId="620980DF" w14:textId="77777777">
        <w:trPr>
          <w:cantSplit/>
        </w:trPr>
        <w:tc>
          <w:tcPr>
            <w:tcW w:w="2557" w:type="dxa"/>
          </w:tcPr>
          <w:p w:rsidRPr="00C81839" w:rsidR="00340994" w:rsidP="00A70409" w:rsidRDefault="00340994" w14:paraId="70787FC9" w14:textId="77777777">
            <w:pPr>
              <w:rPr>
                <w:rFonts w:ascii="Arial" w:hAnsi="Arial" w:cs="Arial"/>
                <w:sz w:val="22"/>
                <w:szCs w:val="22"/>
              </w:rPr>
            </w:pPr>
            <w:r w:rsidRPr="00C81839">
              <w:rPr>
                <w:rFonts w:ascii="Arial" w:hAnsi="Arial" w:cs="Arial"/>
                <w:sz w:val="22"/>
                <w:szCs w:val="22"/>
              </w:rPr>
              <w:t>Let NCC</w:t>
            </w:r>
          </w:p>
        </w:tc>
        <w:tc>
          <w:tcPr>
            <w:tcW w:w="6685" w:type="dxa"/>
          </w:tcPr>
          <w:p w:rsidRPr="00C81839" w:rsidR="00340994" w:rsidP="00A70409" w:rsidRDefault="00340994" w14:paraId="59CB29A5" w14:textId="77777777">
            <w:pPr>
              <w:rPr>
                <w:rFonts w:ascii="Arial" w:hAnsi="Arial" w:cs="Arial"/>
                <w:color w:val="222222"/>
                <w:sz w:val="22"/>
                <w:szCs w:val="22"/>
              </w:rPr>
            </w:pPr>
            <w:r w:rsidRPr="00C81839">
              <w:rPr>
                <w:rFonts w:ascii="Arial" w:hAnsi="Arial" w:cs="Arial"/>
                <w:color w:val="222222"/>
                <w:sz w:val="22"/>
                <w:szCs w:val="22"/>
              </w:rPr>
              <w:t>Norwich City Council’s private sector leasing scheme.</w:t>
            </w:r>
          </w:p>
        </w:tc>
      </w:tr>
      <w:tr w:rsidRPr="00C81839" w:rsidR="00340994" w:rsidTr="007A2718" w14:paraId="02833DD6" w14:textId="77777777">
        <w:trPr>
          <w:cantSplit/>
        </w:trPr>
        <w:tc>
          <w:tcPr>
            <w:tcW w:w="2557" w:type="dxa"/>
          </w:tcPr>
          <w:p w:rsidRPr="00C81839" w:rsidR="00340994" w:rsidP="00A70409" w:rsidRDefault="00340994" w14:paraId="21A1D45D" w14:textId="77777777">
            <w:pPr>
              <w:rPr>
                <w:rFonts w:ascii="Arial" w:hAnsi="Arial" w:cs="Arial"/>
                <w:sz w:val="22"/>
                <w:szCs w:val="22"/>
              </w:rPr>
            </w:pPr>
            <w:r w:rsidRPr="00C81839">
              <w:rPr>
                <w:rFonts w:ascii="Arial" w:hAnsi="Arial" w:cs="Arial"/>
                <w:sz w:val="22"/>
                <w:szCs w:val="22"/>
              </w:rPr>
              <w:t>Local Housing Allowance (LHA)</w:t>
            </w:r>
          </w:p>
        </w:tc>
        <w:tc>
          <w:tcPr>
            <w:tcW w:w="6685" w:type="dxa"/>
          </w:tcPr>
          <w:p w:rsidRPr="00C81839" w:rsidR="00340994" w:rsidP="00A70409" w:rsidRDefault="00340994" w14:paraId="585CB618" w14:textId="77777777">
            <w:pPr>
              <w:rPr>
                <w:rFonts w:ascii="Arial" w:hAnsi="Arial" w:cs="Arial"/>
                <w:color w:val="222222"/>
                <w:sz w:val="22"/>
                <w:szCs w:val="22"/>
              </w:rPr>
            </w:pPr>
            <w:r w:rsidRPr="00C81839">
              <w:rPr>
                <w:rFonts w:ascii="Arial" w:hAnsi="Arial" w:cs="Arial"/>
                <w:bCs/>
                <w:color w:val="222222"/>
                <w:sz w:val="22"/>
                <w:szCs w:val="22"/>
              </w:rPr>
              <w:t>Local housing allowance</w:t>
            </w:r>
            <w:r w:rsidRPr="00C81839">
              <w:rPr>
                <w:rFonts w:ascii="Arial" w:hAnsi="Arial" w:cs="Arial"/>
                <w:color w:val="222222"/>
                <w:sz w:val="22"/>
                <w:szCs w:val="22"/>
              </w:rPr>
              <w:t xml:space="preserve"> is </w:t>
            </w:r>
            <w:r w:rsidRPr="00C81839">
              <w:rPr>
                <w:rFonts w:ascii="Arial" w:hAnsi="Arial" w:cs="Arial"/>
                <w:bCs/>
                <w:color w:val="222222"/>
                <w:sz w:val="22"/>
                <w:szCs w:val="22"/>
              </w:rPr>
              <w:t>housing</w:t>
            </w:r>
            <w:r w:rsidRPr="00C81839">
              <w:rPr>
                <w:rFonts w:ascii="Arial" w:hAnsi="Arial" w:cs="Arial"/>
                <w:color w:val="222222"/>
                <w:sz w:val="22"/>
                <w:szCs w:val="22"/>
              </w:rPr>
              <w:t xml:space="preserve"> benefit that helps pay the rent if you rent from a private landlord. </w:t>
            </w:r>
          </w:p>
          <w:p w:rsidRPr="00C81839" w:rsidR="00340994" w:rsidP="00A70409" w:rsidRDefault="00340994" w14:paraId="77C2AD67" w14:textId="77777777">
            <w:pPr>
              <w:rPr>
                <w:rFonts w:ascii="Arial" w:hAnsi="Arial" w:cs="Arial"/>
                <w:color w:val="222222"/>
                <w:sz w:val="22"/>
                <w:szCs w:val="22"/>
              </w:rPr>
            </w:pPr>
          </w:p>
        </w:tc>
      </w:tr>
      <w:tr w:rsidRPr="00C81839" w:rsidR="00340994" w:rsidTr="007A2718" w14:paraId="55E0427A" w14:textId="77777777">
        <w:trPr>
          <w:cantSplit/>
        </w:trPr>
        <w:tc>
          <w:tcPr>
            <w:tcW w:w="2557" w:type="dxa"/>
          </w:tcPr>
          <w:p w:rsidRPr="00C81839" w:rsidR="00340994" w:rsidP="00A70409" w:rsidRDefault="00340994" w14:paraId="7FE7E021" w14:textId="77777777">
            <w:pPr>
              <w:rPr>
                <w:rFonts w:ascii="Arial" w:hAnsi="Arial" w:cs="Arial"/>
                <w:sz w:val="22"/>
                <w:szCs w:val="22"/>
              </w:rPr>
            </w:pPr>
            <w:r w:rsidRPr="00C81839">
              <w:rPr>
                <w:rFonts w:ascii="Arial" w:hAnsi="Arial" w:cs="Arial"/>
                <w:sz w:val="22"/>
                <w:szCs w:val="22"/>
              </w:rPr>
              <w:t>Looked After Children (LAC)</w:t>
            </w:r>
          </w:p>
        </w:tc>
        <w:tc>
          <w:tcPr>
            <w:tcW w:w="6685" w:type="dxa"/>
          </w:tcPr>
          <w:p w:rsidRPr="00C81839" w:rsidR="00340994" w:rsidP="00A70409" w:rsidRDefault="00340994" w14:paraId="7D8E4454" w14:textId="77777777">
            <w:pPr>
              <w:rPr>
                <w:rFonts w:ascii="Arial" w:hAnsi="Arial" w:cs="Arial"/>
                <w:color w:val="222222"/>
                <w:sz w:val="22"/>
                <w:szCs w:val="22"/>
              </w:rPr>
            </w:pPr>
            <w:r w:rsidRPr="00C81839">
              <w:rPr>
                <w:rFonts w:ascii="Arial" w:hAnsi="Arial" w:cs="Arial"/>
                <w:color w:val="222222"/>
                <w:sz w:val="22"/>
                <w:szCs w:val="22"/>
              </w:rPr>
              <w:t>Looked After - a provision made under the Children’s Act 1989 in England and Wales, whereby a local authority / Health and Social Care Trust has obligations to provide for, or share, the care of a child or young person under 16 years of age where parent(s) or guardian(s) for whatever reason are prevented from providing them with a suitable accommodation or care. A child is ‘looked after’ if he or she is provided with accommodation.</w:t>
            </w:r>
          </w:p>
        </w:tc>
      </w:tr>
      <w:tr w:rsidRPr="00C81839" w:rsidR="00340994" w:rsidTr="007A2718" w14:paraId="771264C7" w14:textId="77777777">
        <w:trPr>
          <w:cantSplit/>
        </w:trPr>
        <w:tc>
          <w:tcPr>
            <w:tcW w:w="2557" w:type="dxa"/>
          </w:tcPr>
          <w:p w:rsidRPr="00C81839" w:rsidR="00340994" w:rsidP="00A70409" w:rsidRDefault="00340994" w14:paraId="176314D2" w14:textId="77777777">
            <w:pPr>
              <w:rPr>
                <w:rFonts w:ascii="Arial" w:hAnsi="Arial" w:cs="Arial"/>
                <w:sz w:val="22"/>
                <w:szCs w:val="22"/>
              </w:rPr>
            </w:pPr>
            <w:r w:rsidRPr="00C81839">
              <w:rPr>
                <w:rFonts w:ascii="Arial" w:hAnsi="Arial" w:cs="Arial"/>
                <w:sz w:val="22"/>
                <w:szCs w:val="22"/>
              </w:rPr>
              <w:t>Multi-agency risk assessment conference (MARAC)</w:t>
            </w:r>
          </w:p>
        </w:tc>
        <w:tc>
          <w:tcPr>
            <w:tcW w:w="6685" w:type="dxa"/>
          </w:tcPr>
          <w:p w:rsidRPr="00C81839" w:rsidR="00340994" w:rsidP="00A70409" w:rsidRDefault="00340994" w14:paraId="4F226F3D" w14:textId="77777777">
            <w:pPr>
              <w:rPr>
                <w:rFonts w:ascii="Arial" w:hAnsi="Arial" w:cs="Arial"/>
                <w:color w:val="222222"/>
                <w:sz w:val="22"/>
                <w:szCs w:val="22"/>
              </w:rPr>
            </w:pPr>
            <w:r w:rsidRPr="00C81839">
              <w:rPr>
                <w:rFonts w:ascii="Arial" w:hAnsi="Arial" w:cs="Arial"/>
                <w:color w:val="222222"/>
                <w:sz w:val="22"/>
                <w:szCs w:val="22"/>
              </w:rPr>
              <w:t>A MARAC is a risk management meeting where professionals share information on high risk cases of domestic violence and abuse and put in place a risk management plan.</w:t>
            </w:r>
          </w:p>
        </w:tc>
      </w:tr>
      <w:tr w:rsidRPr="00C81839" w:rsidR="00340994" w:rsidTr="007A2718" w14:paraId="074A5CE6" w14:textId="77777777">
        <w:trPr>
          <w:cantSplit/>
        </w:trPr>
        <w:tc>
          <w:tcPr>
            <w:tcW w:w="2557" w:type="dxa"/>
          </w:tcPr>
          <w:p w:rsidRPr="00C81839" w:rsidR="00340994" w:rsidP="00A70409" w:rsidRDefault="00340994" w14:paraId="17B11C88" w14:textId="77777777">
            <w:pPr>
              <w:rPr>
                <w:rFonts w:ascii="Arial" w:hAnsi="Arial" w:cs="Arial"/>
                <w:sz w:val="22"/>
                <w:szCs w:val="22"/>
                <w:highlight w:val="yellow"/>
              </w:rPr>
            </w:pPr>
            <w:r w:rsidRPr="00C81839">
              <w:rPr>
                <w:rFonts w:ascii="Arial" w:hAnsi="Arial" w:cs="Arial"/>
                <w:sz w:val="22"/>
                <w:szCs w:val="22"/>
              </w:rPr>
              <w:t>Not in Employment, Education or Training (NEET)</w:t>
            </w:r>
          </w:p>
        </w:tc>
        <w:tc>
          <w:tcPr>
            <w:tcW w:w="6685" w:type="dxa"/>
          </w:tcPr>
          <w:p w:rsidRPr="00C81839" w:rsidR="00340994" w:rsidP="00A70409" w:rsidRDefault="00340994" w14:paraId="00A0592A" w14:textId="77777777">
            <w:pPr>
              <w:rPr>
                <w:rFonts w:ascii="Arial" w:hAnsi="Arial" w:cs="Arial"/>
                <w:color w:val="222222"/>
                <w:sz w:val="22"/>
                <w:szCs w:val="22"/>
              </w:rPr>
            </w:pPr>
            <w:r w:rsidRPr="00C81839">
              <w:rPr>
                <w:rFonts w:ascii="Arial" w:hAnsi="Arial" w:cs="Arial"/>
                <w:color w:val="222222"/>
                <w:sz w:val="22"/>
                <w:szCs w:val="22"/>
              </w:rPr>
              <w:t>A young person who is no longer in the education system and who is not working or being trained for work.</w:t>
            </w:r>
          </w:p>
          <w:p w:rsidRPr="00C81839" w:rsidR="00340994" w:rsidP="00A70409" w:rsidRDefault="00340994" w14:paraId="228945E0" w14:textId="77777777">
            <w:pPr>
              <w:rPr>
                <w:rFonts w:ascii="Arial" w:hAnsi="Arial" w:cs="Arial"/>
                <w:color w:val="222222"/>
                <w:sz w:val="22"/>
                <w:szCs w:val="22"/>
                <w:highlight w:val="yellow"/>
              </w:rPr>
            </w:pPr>
          </w:p>
        </w:tc>
      </w:tr>
      <w:tr w:rsidRPr="00C81839" w:rsidR="00340994" w:rsidTr="007A2718" w14:paraId="5D9F2A2C" w14:textId="77777777">
        <w:trPr>
          <w:cantSplit/>
        </w:trPr>
        <w:tc>
          <w:tcPr>
            <w:tcW w:w="2557" w:type="dxa"/>
          </w:tcPr>
          <w:p w:rsidRPr="00C81839" w:rsidR="00340994" w:rsidP="00A70409" w:rsidRDefault="00340994" w14:paraId="4ADA9D36" w14:textId="77777777">
            <w:pPr>
              <w:rPr>
                <w:rFonts w:ascii="Arial" w:hAnsi="Arial" w:cs="Arial"/>
                <w:sz w:val="22"/>
                <w:szCs w:val="22"/>
              </w:rPr>
            </w:pPr>
            <w:r w:rsidRPr="00C81839">
              <w:rPr>
                <w:rFonts w:ascii="Arial" w:hAnsi="Arial" w:cs="Arial"/>
                <w:sz w:val="22"/>
                <w:szCs w:val="22"/>
              </w:rPr>
              <w:t>No Fixed Abode (NFA)</w:t>
            </w:r>
          </w:p>
        </w:tc>
        <w:tc>
          <w:tcPr>
            <w:tcW w:w="6685" w:type="dxa"/>
          </w:tcPr>
          <w:p w:rsidRPr="00C81839" w:rsidR="00340994" w:rsidP="00A70409" w:rsidRDefault="00340994" w14:paraId="3FCE04E9" w14:textId="77777777">
            <w:pPr>
              <w:rPr>
                <w:rFonts w:ascii="Arial" w:hAnsi="Arial" w:cs="Arial"/>
                <w:sz w:val="22"/>
                <w:szCs w:val="22"/>
              </w:rPr>
            </w:pPr>
            <w:r w:rsidRPr="00C81839">
              <w:rPr>
                <w:rFonts w:ascii="Arial" w:hAnsi="Arial" w:cs="Arial"/>
                <w:sz w:val="22"/>
                <w:szCs w:val="22"/>
              </w:rPr>
              <w:t>A person having no permanent residence.</w:t>
            </w:r>
          </w:p>
        </w:tc>
      </w:tr>
      <w:tr w:rsidRPr="00C81839" w:rsidR="00340994" w:rsidTr="007A2718" w14:paraId="76AE5F4A" w14:textId="77777777">
        <w:trPr>
          <w:cantSplit/>
        </w:trPr>
        <w:tc>
          <w:tcPr>
            <w:tcW w:w="2557" w:type="dxa"/>
          </w:tcPr>
          <w:p w:rsidRPr="00C81839" w:rsidR="00340994" w:rsidP="00A70409" w:rsidRDefault="00340994" w14:paraId="3E21B76C" w14:textId="77777777">
            <w:pPr>
              <w:rPr>
                <w:rFonts w:ascii="Arial" w:hAnsi="Arial" w:cs="Arial"/>
                <w:sz w:val="22"/>
                <w:szCs w:val="22"/>
              </w:rPr>
            </w:pPr>
            <w:r w:rsidRPr="00C81839">
              <w:rPr>
                <w:rFonts w:ascii="Arial" w:hAnsi="Arial" w:cs="Arial"/>
                <w:sz w:val="22"/>
                <w:szCs w:val="22"/>
              </w:rPr>
              <w:t>Pathways</w:t>
            </w:r>
          </w:p>
        </w:tc>
        <w:tc>
          <w:tcPr>
            <w:tcW w:w="6685" w:type="dxa"/>
          </w:tcPr>
          <w:p w:rsidRPr="00C81839" w:rsidR="00340994" w:rsidP="00A70409" w:rsidRDefault="00340994" w14:paraId="2E86711E" w14:textId="77777777">
            <w:pPr>
              <w:rPr>
                <w:rFonts w:ascii="Arial" w:hAnsi="Arial" w:cs="Arial"/>
                <w:sz w:val="22"/>
                <w:szCs w:val="22"/>
              </w:rPr>
            </w:pPr>
            <w:r w:rsidRPr="00C81839">
              <w:rPr>
                <w:rFonts w:ascii="Arial" w:hAnsi="Arial" w:cs="Arial"/>
                <w:sz w:val="22"/>
                <w:szCs w:val="22"/>
              </w:rPr>
              <w:t>Rough Sleeping Service in the Norwich City and Broadland areas. Consists of 8 partner agencies, provision of accommodation and support.</w:t>
            </w:r>
          </w:p>
        </w:tc>
      </w:tr>
      <w:tr w:rsidRPr="00C81839" w:rsidR="00340994" w:rsidTr="007A2718" w14:paraId="0234EEDC" w14:textId="77777777">
        <w:trPr>
          <w:cantSplit/>
        </w:trPr>
        <w:tc>
          <w:tcPr>
            <w:tcW w:w="2557" w:type="dxa"/>
          </w:tcPr>
          <w:p w:rsidRPr="00C81839" w:rsidR="00340994" w:rsidP="00A70409" w:rsidRDefault="00340994" w14:paraId="1A8AA075" w14:textId="77777777">
            <w:pPr>
              <w:rPr>
                <w:rFonts w:ascii="Arial" w:hAnsi="Arial" w:cs="Arial"/>
                <w:sz w:val="22"/>
                <w:szCs w:val="22"/>
              </w:rPr>
            </w:pPr>
            <w:r w:rsidRPr="00C81839">
              <w:rPr>
                <w:rFonts w:ascii="Arial" w:hAnsi="Arial" w:cs="Arial"/>
                <w:sz w:val="22"/>
                <w:szCs w:val="22"/>
              </w:rPr>
              <w:t>Severe Weather Emergency Protocol (SWEP)</w:t>
            </w:r>
          </w:p>
        </w:tc>
        <w:tc>
          <w:tcPr>
            <w:tcW w:w="6685" w:type="dxa"/>
          </w:tcPr>
          <w:p w:rsidRPr="00C81839" w:rsidR="00340994" w:rsidP="00A70409" w:rsidRDefault="00340994" w14:paraId="533A64AC" w14:textId="77777777">
            <w:pPr>
              <w:rPr>
                <w:rFonts w:ascii="Arial" w:hAnsi="Arial" w:cs="Arial"/>
                <w:sz w:val="22"/>
                <w:szCs w:val="22"/>
                <w:lang w:val="en"/>
              </w:rPr>
            </w:pPr>
            <w:r w:rsidRPr="00C81839">
              <w:rPr>
                <w:rFonts w:ascii="Arial" w:hAnsi="Arial" w:cs="Arial"/>
                <w:sz w:val="22"/>
                <w:szCs w:val="22"/>
                <w:lang w:val="en-US"/>
              </w:rPr>
              <w:t>People sleeping rough in Greater Norwich can access emergency accommodation and support during periods of exceptionally cold weather through the SWEP.</w:t>
            </w:r>
          </w:p>
        </w:tc>
      </w:tr>
      <w:tr w:rsidRPr="00C81839" w:rsidR="00340994" w:rsidTr="007A2718" w14:paraId="13BD116D" w14:textId="77777777">
        <w:trPr>
          <w:cantSplit/>
        </w:trPr>
        <w:tc>
          <w:tcPr>
            <w:tcW w:w="2557" w:type="dxa"/>
          </w:tcPr>
          <w:p w:rsidRPr="00C81839" w:rsidR="00340994" w:rsidP="00A70409" w:rsidRDefault="00340994" w14:paraId="43BC0F44" w14:textId="77777777">
            <w:pPr>
              <w:rPr>
                <w:rFonts w:ascii="Arial" w:hAnsi="Arial" w:cs="Arial"/>
                <w:sz w:val="22"/>
                <w:szCs w:val="22"/>
                <w:highlight w:val="yellow"/>
              </w:rPr>
            </w:pPr>
            <w:r w:rsidRPr="00C81839">
              <w:rPr>
                <w:rFonts w:ascii="Arial" w:hAnsi="Arial" w:cs="Arial"/>
                <w:sz w:val="22"/>
                <w:szCs w:val="22"/>
              </w:rPr>
              <w:t>Sofa surfing</w:t>
            </w:r>
          </w:p>
        </w:tc>
        <w:tc>
          <w:tcPr>
            <w:tcW w:w="6685" w:type="dxa"/>
          </w:tcPr>
          <w:p w:rsidRPr="00C81839" w:rsidR="00340994" w:rsidP="00A70409" w:rsidRDefault="00340994" w14:paraId="20A27707" w14:textId="77777777">
            <w:pPr>
              <w:rPr>
                <w:rFonts w:ascii="Arial" w:hAnsi="Arial" w:cs="Arial"/>
                <w:sz w:val="22"/>
                <w:szCs w:val="22"/>
                <w:highlight w:val="yellow"/>
              </w:rPr>
            </w:pPr>
            <w:r w:rsidRPr="00C81839">
              <w:rPr>
                <w:rFonts w:ascii="Arial" w:hAnsi="Arial" w:cs="Arial"/>
                <w:sz w:val="22"/>
                <w:szCs w:val="22"/>
                <w:lang w:val="en"/>
              </w:rPr>
              <w:t>Staying temporarily with various friends and relatives while attempting to find permanent accommodation.</w:t>
            </w:r>
          </w:p>
        </w:tc>
      </w:tr>
      <w:tr w:rsidRPr="00C81839" w:rsidR="00340994" w:rsidTr="007A2718" w14:paraId="583AB753" w14:textId="77777777">
        <w:trPr>
          <w:cantSplit/>
        </w:trPr>
        <w:tc>
          <w:tcPr>
            <w:tcW w:w="2557" w:type="dxa"/>
          </w:tcPr>
          <w:p w:rsidRPr="004332FF" w:rsidR="00340994" w:rsidP="00A70409" w:rsidRDefault="00340994" w14:paraId="575239D2" w14:textId="77777777">
            <w:pPr>
              <w:rPr>
                <w:rFonts w:ascii="Arial" w:hAnsi="Arial" w:cs="Arial"/>
                <w:sz w:val="22"/>
                <w:szCs w:val="22"/>
              </w:rPr>
            </w:pPr>
            <w:r w:rsidRPr="004332FF">
              <w:rPr>
                <w:rFonts w:ascii="Arial" w:hAnsi="Arial" w:cs="Arial"/>
                <w:sz w:val="22"/>
                <w:szCs w:val="22"/>
              </w:rPr>
              <w:t>Strategic Housing Market Assessment (SHMA)</w:t>
            </w:r>
          </w:p>
        </w:tc>
        <w:tc>
          <w:tcPr>
            <w:tcW w:w="6685" w:type="dxa"/>
          </w:tcPr>
          <w:p w:rsidRPr="004332FF" w:rsidR="00340994" w:rsidP="00A70409" w:rsidRDefault="00340994" w14:paraId="0881021D" w14:textId="77777777">
            <w:pPr>
              <w:rPr>
                <w:rFonts w:ascii="Arial" w:hAnsi="Arial" w:cs="Arial"/>
                <w:color w:val="333333"/>
                <w:sz w:val="22"/>
                <w:szCs w:val="22"/>
              </w:rPr>
            </w:pPr>
            <w:r w:rsidRPr="004332FF">
              <w:rPr>
                <w:rFonts w:ascii="Arial" w:hAnsi="Arial" w:cs="Arial"/>
                <w:color w:val="333333"/>
                <w:sz w:val="22"/>
                <w:szCs w:val="22"/>
              </w:rPr>
              <w:t xml:space="preserve">The Strategic Housing Market Assessment (SHMA) was updated in June 2017 Its purpose is to set out the </w:t>
            </w:r>
            <w:hyperlink w:tgtFrame="_blank" w:history="1" r:id="rId30">
              <w:r w:rsidRPr="004332FF">
                <w:rPr>
                  <w:rFonts w:ascii="Arial" w:hAnsi="Arial" w:cs="Arial"/>
                  <w:color w:val="4C5A03"/>
                  <w:sz w:val="22"/>
                  <w:szCs w:val="22"/>
                  <w:u w:val="single"/>
                </w:rPr>
                <w:t>Objectively Assessed Need (OAN)</w:t>
              </w:r>
            </w:hyperlink>
            <w:r w:rsidRPr="004332FF">
              <w:rPr>
                <w:rFonts w:ascii="Arial" w:hAnsi="Arial" w:cs="Arial"/>
                <w:color w:val="333333"/>
                <w:sz w:val="22"/>
                <w:szCs w:val="22"/>
              </w:rPr>
              <w:t xml:space="preserve"> for housing in the local planning areas of Broadland, Breckland, North Norfolk, Norwich and South Norfolk together with the Broads Authority, including affordable housing, and will be used by the commissioning authorities as a shared evidence base to inform the preparation of Local Plans.</w:t>
            </w:r>
          </w:p>
        </w:tc>
      </w:tr>
      <w:tr w:rsidRPr="00C81839" w:rsidR="00340994" w:rsidTr="007A2718" w14:paraId="4C1109EB" w14:textId="77777777">
        <w:trPr>
          <w:cantSplit/>
        </w:trPr>
        <w:tc>
          <w:tcPr>
            <w:tcW w:w="2557" w:type="dxa"/>
          </w:tcPr>
          <w:p w:rsidRPr="00C81839" w:rsidR="00340994" w:rsidP="00A70409" w:rsidRDefault="00340994" w14:paraId="5F97CC1C" w14:textId="77777777">
            <w:pPr>
              <w:rPr>
                <w:rFonts w:ascii="Arial" w:hAnsi="Arial" w:cs="Arial"/>
                <w:sz w:val="22"/>
                <w:szCs w:val="22"/>
              </w:rPr>
            </w:pPr>
            <w:r w:rsidRPr="00C81839">
              <w:rPr>
                <w:rFonts w:ascii="Arial" w:hAnsi="Arial" w:cs="Arial"/>
                <w:sz w:val="22"/>
                <w:szCs w:val="22"/>
              </w:rPr>
              <w:lastRenderedPageBreak/>
              <w:t>Supported Lodgings</w:t>
            </w:r>
          </w:p>
        </w:tc>
        <w:tc>
          <w:tcPr>
            <w:tcW w:w="6685" w:type="dxa"/>
          </w:tcPr>
          <w:p w:rsidRPr="00C81839" w:rsidR="00340994" w:rsidP="00A70409" w:rsidRDefault="00340994" w14:paraId="5D7E29A8" w14:textId="77777777">
            <w:pPr>
              <w:rPr>
                <w:rFonts w:ascii="Arial" w:hAnsi="Arial" w:cs="Arial"/>
                <w:sz w:val="22"/>
                <w:szCs w:val="22"/>
                <w:lang w:val="en"/>
              </w:rPr>
            </w:pPr>
            <w:r w:rsidRPr="00C81839">
              <w:rPr>
                <w:rFonts w:ascii="Arial" w:hAnsi="Arial" w:cs="Arial"/>
                <w:sz w:val="22"/>
                <w:szCs w:val="22"/>
                <w:lang w:val="en"/>
              </w:rPr>
              <w:t>Supported Lodgings is an accommodation scheme for vulnerable young people aged 16-24 across Norfolk. Supported Lodgings provides young people who find themselves with nowhere to live and little to no support network, with a safe, supportive place to stay in the homes of local people.</w:t>
            </w:r>
          </w:p>
        </w:tc>
      </w:tr>
      <w:tr w:rsidRPr="00C81839" w:rsidR="00340994" w:rsidTr="007A2718" w14:paraId="121EB045" w14:textId="77777777">
        <w:trPr>
          <w:cantSplit/>
        </w:trPr>
        <w:tc>
          <w:tcPr>
            <w:tcW w:w="2557" w:type="dxa"/>
          </w:tcPr>
          <w:p w:rsidRPr="00C81839" w:rsidR="00340994" w:rsidP="00A70409" w:rsidRDefault="00340994" w14:paraId="44B647D3" w14:textId="77777777">
            <w:pPr>
              <w:rPr>
                <w:rFonts w:ascii="Arial" w:hAnsi="Arial" w:cs="Arial"/>
                <w:sz w:val="22"/>
                <w:szCs w:val="22"/>
              </w:rPr>
            </w:pPr>
            <w:r w:rsidRPr="00C81839">
              <w:rPr>
                <w:rFonts w:ascii="Arial" w:hAnsi="Arial" w:cs="Arial"/>
                <w:sz w:val="22"/>
                <w:szCs w:val="22"/>
              </w:rPr>
              <w:t>Universal Credit</w:t>
            </w:r>
          </w:p>
        </w:tc>
        <w:tc>
          <w:tcPr>
            <w:tcW w:w="6685" w:type="dxa"/>
          </w:tcPr>
          <w:p w:rsidRPr="00C81839" w:rsidR="00340994" w:rsidP="00A70409" w:rsidRDefault="00340994" w14:paraId="1FEE401F" w14:textId="77777777">
            <w:pPr>
              <w:rPr>
                <w:rFonts w:ascii="Arial" w:hAnsi="Arial" w:cs="Arial"/>
                <w:sz w:val="22"/>
                <w:szCs w:val="22"/>
                <w:lang w:val="en"/>
              </w:rPr>
            </w:pPr>
            <w:r w:rsidRPr="00C81839">
              <w:rPr>
                <w:rFonts w:ascii="Arial" w:hAnsi="Arial" w:cs="Arial"/>
                <w:sz w:val="22"/>
                <w:szCs w:val="22"/>
                <w:lang w:val="en-US"/>
              </w:rPr>
              <w:t>A benefit for those who are not working or on a low income. It is replacing six other benefits; Housing Benefit, Income Support, Income Based Jobseekers Allowance, Income Based Employment and Support Allowance, Child Tax Credits and Working Tax Credits and is paid monthly.</w:t>
            </w:r>
          </w:p>
        </w:tc>
      </w:tr>
      <w:tr w:rsidRPr="00C81839" w:rsidR="00340994" w:rsidTr="007A2718" w14:paraId="637B3EF5" w14:textId="77777777">
        <w:trPr>
          <w:cantSplit/>
        </w:trPr>
        <w:tc>
          <w:tcPr>
            <w:tcW w:w="2557" w:type="dxa"/>
          </w:tcPr>
          <w:p w:rsidRPr="00C81839" w:rsidR="00340994" w:rsidP="00A70409" w:rsidRDefault="00340994" w14:paraId="3E5CF3B9" w14:textId="77777777">
            <w:pPr>
              <w:rPr>
                <w:rFonts w:ascii="Arial" w:hAnsi="Arial" w:cs="Arial"/>
                <w:sz w:val="22"/>
                <w:szCs w:val="22"/>
              </w:rPr>
            </w:pPr>
          </w:p>
        </w:tc>
        <w:tc>
          <w:tcPr>
            <w:tcW w:w="6685" w:type="dxa"/>
          </w:tcPr>
          <w:p w:rsidRPr="00C81839" w:rsidR="00340994" w:rsidP="00A70409" w:rsidRDefault="00340994" w14:paraId="0EFEE3F1" w14:textId="77777777">
            <w:pPr>
              <w:rPr>
                <w:rFonts w:ascii="Arial" w:hAnsi="Arial" w:cs="Arial"/>
                <w:sz w:val="22"/>
                <w:szCs w:val="22"/>
                <w:lang w:val="en-US"/>
              </w:rPr>
            </w:pPr>
          </w:p>
        </w:tc>
      </w:tr>
    </w:tbl>
    <w:p w:rsidRPr="00C81839" w:rsidR="00340994" w:rsidP="00340994" w:rsidRDefault="00340994" w14:paraId="0A2B35DE" w14:textId="77777777">
      <w:pPr>
        <w:pStyle w:val="ListParagraph"/>
        <w:rPr>
          <w:rFonts w:ascii="Arial" w:hAnsi="Arial" w:cs="Arial"/>
        </w:rPr>
      </w:pPr>
    </w:p>
    <w:p w:rsidRPr="00D04D8C" w:rsidR="00340994" w:rsidP="00340994" w:rsidRDefault="00340994" w14:paraId="36BE389A" w14:textId="77777777">
      <w:pPr>
        <w:rPr>
          <w:rFonts w:ascii="Arial" w:hAnsi="Arial" w:cs="Arial"/>
        </w:rPr>
      </w:pPr>
    </w:p>
    <w:p w:rsidR="00340994" w:rsidP="00340994" w:rsidRDefault="00340994" w14:paraId="3A8E3334" w14:textId="77777777">
      <w:pPr>
        <w:rPr>
          <w:rFonts w:ascii="Arial" w:hAnsi="Arial" w:cs="Arial"/>
        </w:rPr>
      </w:pPr>
    </w:p>
    <w:p w:rsidR="00340994" w:rsidP="00340994" w:rsidRDefault="00340994" w14:paraId="7C4F21C3" w14:textId="77777777">
      <w:pPr>
        <w:rPr>
          <w:rFonts w:ascii="Arial" w:hAnsi="Arial" w:cs="Arial"/>
        </w:rPr>
      </w:pPr>
    </w:p>
    <w:p w:rsidR="00340994" w:rsidP="00340994" w:rsidRDefault="00340994" w14:paraId="02CF27CF" w14:textId="77777777">
      <w:pPr>
        <w:rPr>
          <w:rFonts w:ascii="Arial" w:hAnsi="Arial" w:cs="Arial"/>
        </w:rPr>
      </w:pPr>
    </w:p>
    <w:p w:rsidRPr="0036484E" w:rsidR="00B064B2" w:rsidP="00492246" w:rsidRDefault="00B064B2" w14:paraId="6036EE50" w14:textId="77777777">
      <w:pPr>
        <w:pStyle w:val="Heading1"/>
      </w:pPr>
    </w:p>
    <w:sectPr w:rsidRPr="0036484E" w:rsidR="00B064B2">
      <w:headerReference w:type="default" r:id="rId31"/>
      <w:footerReference w:type="default" r:id="rId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98199" w14:textId="77777777" w:rsidR="00492246" w:rsidRDefault="00492246" w:rsidP="00FE6B84">
      <w:r>
        <w:separator/>
      </w:r>
    </w:p>
  </w:endnote>
  <w:endnote w:type="continuationSeparator" w:id="0">
    <w:p w14:paraId="5D589C26" w14:textId="77777777" w:rsidR="00492246" w:rsidRDefault="00492246" w:rsidP="00FE6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Museo Sans 300">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elleSansLt">
    <w:altName w:val="Calibri"/>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0551543"/>
      <w:docPartObj>
        <w:docPartGallery w:val="Page Numbers (Bottom of Page)"/>
        <w:docPartUnique/>
      </w:docPartObj>
    </w:sdtPr>
    <w:sdtEndPr>
      <w:rPr>
        <w:noProof/>
      </w:rPr>
    </w:sdtEndPr>
    <w:sdtContent>
      <w:p w14:paraId="0FE37CE2" w14:textId="77777777" w:rsidR="00492246" w:rsidRDefault="00492246">
        <w:pPr>
          <w:pStyle w:val="Footer"/>
          <w:jc w:val="right"/>
        </w:pPr>
        <w:r>
          <w:fldChar w:fldCharType="begin"/>
        </w:r>
        <w:r>
          <w:instrText xml:space="preserve"> PAGE   \* MERGEFORMAT </w:instrText>
        </w:r>
        <w:r>
          <w:fldChar w:fldCharType="separate"/>
        </w:r>
        <w:r w:rsidR="00123029">
          <w:rPr>
            <w:noProof/>
          </w:rPr>
          <w:t>34</w:t>
        </w:r>
        <w:r>
          <w:rPr>
            <w:noProof/>
          </w:rPr>
          <w:fldChar w:fldCharType="end"/>
        </w:r>
      </w:p>
    </w:sdtContent>
  </w:sdt>
  <w:p w14:paraId="253AB063" w14:textId="77777777" w:rsidR="00492246" w:rsidRPr="00B55996" w:rsidRDefault="00492246">
    <w:pPr>
      <w:pStyle w:val="Footer"/>
      <w:rPr>
        <w:rFonts w:ascii="Arial" w:hAnsi="Arial" w:cs="Arial"/>
      </w:rPr>
    </w:pPr>
    <w:r>
      <w:rPr>
        <w:rFonts w:ascii="Arial" w:hAnsi="Arial" w:cs="Arial"/>
      </w:rPr>
      <w:t>Version 6 09/08/2021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CD9FB" w14:textId="77777777" w:rsidR="00492246" w:rsidRDefault="00492246" w:rsidP="00FE6B84">
      <w:r>
        <w:separator/>
      </w:r>
    </w:p>
  </w:footnote>
  <w:footnote w:type="continuationSeparator" w:id="0">
    <w:p w14:paraId="278BEC2B" w14:textId="77777777" w:rsidR="00492246" w:rsidRDefault="00492246" w:rsidP="00FE6B84">
      <w:r>
        <w:continuationSeparator/>
      </w:r>
    </w:p>
  </w:footnote>
  <w:footnote w:id="1">
    <w:p w14:paraId="683C9262" w14:textId="77777777" w:rsidR="00492246" w:rsidRPr="00BB4E29" w:rsidRDefault="00492246">
      <w:pPr>
        <w:pStyle w:val="FootnoteText"/>
        <w:rPr>
          <w:rFonts w:ascii="Arial" w:hAnsi="Arial" w:cs="Arial"/>
          <w:sz w:val="16"/>
          <w:szCs w:val="16"/>
        </w:rPr>
      </w:pPr>
      <w:r w:rsidRPr="00BB4E29">
        <w:rPr>
          <w:rStyle w:val="FootnoteReference"/>
          <w:rFonts w:ascii="Arial" w:hAnsi="Arial" w:cs="Arial"/>
          <w:sz w:val="16"/>
          <w:szCs w:val="16"/>
        </w:rPr>
        <w:footnoteRef/>
      </w:r>
      <w:r w:rsidRPr="00BB4E29">
        <w:rPr>
          <w:rFonts w:ascii="Arial" w:hAnsi="Arial" w:cs="Arial"/>
          <w:sz w:val="16"/>
          <w:szCs w:val="16"/>
        </w:rPr>
        <w:t xml:space="preserve"> Consultation was extended because of Covid-19 pandemic.</w:t>
      </w:r>
    </w:p>
  </w:footnote>
  <w:footnote w:id="2">
    <w:p w14:paraId="76C8AA37" w14:textId="77777777" w:rsidR="00492246" w:rsidRPr="00E02306" w:rsidRDefault="00492246" w:rsidP="00636CEF">
      <w:pPr>
        <w:pStyle w:val="FootnoteText"/>
        <w:rPr>
          <w:rFonts w:ascii="Arial" w:hAnsi="Arial" w:cs="Arial"/>
          <w:sz w:val="16"/>
          <w:szCs w:val="16"/>
        </w:rPr>
      </w:pPr>
      <w:r w:rsidRPr="00E02306">
        <w:rPr>
          <w:rStyle w:val="FootnoteReference"/>
          <w:rFonts w:ascii="Arial" w:hAnsi="Arial" w:cs="Arial"/>
          <w:sz w:val="16"/>
          <w:szCs w:val="16"/>
        </w:rPr>
        <w:footnoteRef/>
      </w:r>
      <w:r w:rsidRPr="00E02306">
        <w:rPr>
          <w:rFonts w:ascii="Arial" w:hAnsi="Arial" w:cs="Arial"/>
          <w:sz w:val="16"/>
          <w:szCs w:val="16"/>
        </w:rPr>
        <w:t xml:space="preserve"> Page 65, </w:t>
      </w:r>
      <w:r w:rsidRPr="00E02306">
        <w:rPr>
          <w:rFonts w:ascii="Arial" w:hAnsi="Arial" w:cs="Arial"/>
          <w:i/>
          <w:sz w:val="16"/>
          <w:szCs w:val="16"/>
        </w:rPr>
        <w:t>This time it’s different – Universal Credits first recession,</w:t>
      </w:r>
      <w:r w:rsidRPr="00E02306">
        <w:rPr>
          <w:rFonts w:ascii="Arial" w:hAnsi="Arial" w:cs="Arial"/>
          <w:sz w:val="16"/>
          <w:szCs w:val="16"/>
        </w:rPr>
        <w:t xml:space="preserve"> (Resolution Foundation, May 2020).</w:t>
      </w:r>
    </w:p>
  </w:footnote>
  <w:footnote w:id="3">
    <w:p w14:paraId="0B370069" w14:textId="77777777" w:rsidR="00492246" w:rsidRPr="00916AEC" w:rsidRDefault="00492246">
      <w:pPr>
        <w:pStyle w:val="FootnoteText"/>
        <w:rPr>
          <w:rFonts w:ascii="Arial" w:hAnsi="Arial" w:cs="Arial"/>
          <w:sz w:val="16"/>
          <w:szCs w:val="16"/>
        </w:rPr>
      </w:pPr>
      <w:r w:rsidRPr="00916AEC">
        <w:rPr>
          <w:rStyle w:val="FootnoteReference"/>
          <w:rFonts w:ascii="Arial" w:hAnsi="Arial" w:cs="Arial"/>
          <w:sz w:val="16"/>
          <w:szCs w:val="16"/>
        </w:rPr>
        <w:footnoteRef/>
      </w:r>
      <w:r w:rsidRPr="00916AEC">
        <w:rPr>
          <w:rFonts w:ascii="Arial" w:hAnsi="Arial" w:cs="Arial"/>
          <w:sz w:val="16"/>
          <w:szCs w:val="16"/>
        </w:rPr>
        <w:t xml:space="preserve"> </w:t>
      </w:r>
      <w:r>
        <w:rPr>
          <w:rFonts w:ascii="Arial" w:hAnsi="Arial" w:cs="Arial"/>
          <w:sz w:val="16"/>
          <w:szCs w:val="16"/>
        </w:rPr>
        <w:t xml:space="preserve">Royal Institute of Chartered Surveyors (RICS), </w:t>
      </w:r>
      <w:r w:rsidRPr="00D21028">
        <w:rPr>
          <w:rFonts w:ascii="Arial" w:hAnsi="Arial" w:cs="Arial"/>
          <w:i/>
          <w:sz w:val="16"/>
          <w:szCs w:val="16"/>
        </w:rPr>
        <w:t>Housing Forecast 2019</w:t>
      </w:r>
      <w:r>
        <w:rPr>
          <w:rFonts w:ascii="Arial" w:hAnsi="Arial" w:cs="Arial"/>
          <w:sz w:val="16"/>
          <w:szCs w:val="16"/>
        </w:rPr>
        <w:t>, London Dec 2018.</w:t>
      </w:r>
    </w:p>
  </w:footnote>
  <w:footnote w:id="4">
    <w:p w14:paraId="58177C82" w14:textId="77777777" w:rsidR="00492246" w:rsidRPr="009E2AB1" w:rsidRDefault="00492246">
      <w:pPr>
        <w:pStyle w:val="FootnoteText"/>
        <w:rPr>
          <w:rFonts w:ascii="Arial" w:hAnsi="Arial" w:cs="Arial"/>
          <w:sz w:val="16"/>
          <w:szCs w:val="16"/>
        </w:rPr>
      </w:pPr>
      <w:r w:rsidRPr="009E2AB1">
        <w:rPr>
          <w:rStyle w:val="FootnoteReference"/>
          <w:rFonts w:ascii="Arial" w:hAnsi="Arial" w:cs="Arial"/>
          <w:sz w:val="16"/>
          <w:szCs w:val="16"/>
        </w:rPr>
        <w:footnoteRef/>
      </w:r>
      <w:r w:rsidRPr="009E2AB1">
        <w:rPr>
          <w:rFonts w:ascii="Arial" w:hAnsi="Arial" w:cs="Arial"/>
          <w:sz w:val="16"/>
          <w:szCs w:val="16"/>
        </w:rPr>
        <w:t xml:space="preserve"> </w:t>
      </w:r>
      <w:r>
        <w:rPr>
          <w:rFonts w:ascii="Arial" w:hAnsi="Arial" w:cs="Arial"/>
          <w:sz w:val="16"/>
          <w:szCs w:val="16"/>
        </w:rPr>
        <w:t xml:space="preserve">Source: </w:t>
      </w:r>
      <w:hyperlink r:id="rId1" w:anchor="about-the-uk-house-price-index" w:history="1">
        <w:r w:rsidRPr="00AA7B8D">
          <w:rPr>
            <w:rStyle w:val="Hyperlink"/>
            <w:rFonts w:ascii="Arial" w:hAnsi="Arial" w:cs="Arial"/>
            <w:sz w:val="16"/>
            <w:szCs w:val="16"/>
          </w:rPr>
          <w:t>https://www.gov.uk/government/publications/uk-house-price-index-summary-july-2019/uk-house-price-index-summary-july-2019#about-the-uk-house-price-index</w:t>
        </w:r>
      </w:hyperlink>
      <w:r>
        <w:rPr>
          <w:rFonts w:ascii="Arial" w:hAnsi="Arial" w:cs="Arial"/>
          <w:sz w:val="16"/>
          <w:szCs w:val="16"/>
        </w:rPr>
        <w:t xml:space="preserve"> ,Accessed on 19/09/2019.</w:t>
      </w:r>
    </w:p>
  </w:footnote>
  <w:footnote w:id="5">
    <w:p w14:paraId="18106231" w14:textId="77777777" w:rsidR="00492246" w:rsidRPr="00754807" w:rsidRDefault="00492246" w:rsidP="006123F9">
      <w:pPr>
        <w:pStyle w:val="FootnoteText"/>
        <w:rPr>
          <w:rFonts w:ascii="Arial" w:hAnsi="Arial" w:cs="Arial"/>
          <w:sz w:val="16"/>
          <w:szCs w:val="16"/>
        </w:rPr>
      </w:pPr>
      <w:r w:rsidRPr="00754807">
        <w:rPr>
          <w:rStyle w:val="FootnoteReference"/>
          <w:rFonts w:ascii="Arial" w:hAnsi="Arial" w:cs="Arial"/>
          <w:sz w:val="16"/>
          <w:szCs w:val="16"/>
        </w:rPr>
        <w:footnoteRef/>
      </w:r>
      <w:r w:rsidRPr="00754807">
        <w:rPr>
          <w:rFonts w:ascii="Arial" w:hAnsi="Arial" w:cs="Arial"/>
          <w:sz w:val="16"/>
          <w:szCs w:val="16"/>
        </w:rPr>
        <w:t xml:space="preserve"> Source: Hometrack (accessed 19/08/2019): based on data from the latest Annual Survey of Hours and Earnings and sales and valuations over the last </w:t>
      </w:r>
      <w:r w:rsidRPr="004343EB">
        <w:rPr>
          <w:rStyle w:val="Strong"/>
          <w:rFonts w:ascii="Arial" w:hAnsi="Arial" w:cs="Arial"/>
          <w:b w:val="0"/>
          <w:sz w:val="16"/>
          <w:szCs w:val="16"/>
        </w:rPr>
        <w:t>12</w:t>
      </w:r>
      <w:r w:rsidRPr="00754807">
        <w:rPr>
          <w:rFonts w:ascii="Arial" w:hAnsi="Arial" w:cs="Arial"/>
          <w:sz w:val="16"/>
          <w:szCs w:val="16"/>
        </w:rPr>
        <w:t xml:space="preserve"> months.</w:t>
      </w:r>
    </w:p>
  </w:footnote>
  <w:footnote w:id="6">
    <w:p w14:paraId="4793B8E8" w14:textId="77777777" w:rsidR="00492246" w:rsidRDefault="00492246" w:rsidP="006123F9">
      <w:pPr>
        <w:pStyle w:val="FootnoteText"/>
        <w:rPr>
          <w:rFonts w:ascii="Arial" w:hAnsi="Arial" w:cs="Arial"/>
          <w:sz w:val="16"/>
          <w:szCs w:val="16"/>
        </w:rPr>
      </w:pPr>
      <w:r w:rsidRPr="00754807">
        <w:rPr>
          <w:rStyle w:val="FootnoteReference"/>
          <w:rFonts w:ascii="Arial" w:hAnsi="Arial" w:cs="Arial"/>
          <w:sz w:val="16"/>
          <w:szCs w:val="16"/>
        </w:rPr>
        <w:footnoteRef/>
      </w:r>
      <w:r w:rsidRPr="00754807">
        <w:rPr>
          <w:rStyle w:val="FootnoteReference"/>
          <w:rFonts w:ascii="Arial" w:hAnsi="Arial" w:cs="Arial"/>
          <w:sz w:val="16"/>
          <w:szCs w:val="16"/>
        </w:rPr>
        <w:t xml:space="preserve"> Ibid.</w:t>
      </w:r>
    </w:p>
    <w:p w14:paraId="09298496" w14:textId="77777777" w:rsidR="00492246" w:rsidRDefault="00492246" w:rsidP="006123F9">
      <w:pPr>
        <w:pStyle w:val="FootnoteText"/>
      </w:pPr>
    </w:p>
  </w:footnote>
  <w:footnote w:id="7">
    <w:p w14:paraId="18D01BFA" w14:textId="77777777" w:rsidR="00492246" w:rsidRPr="00623AC1" w:rsidRDefault="00492246">
      <w:pPr>
        <w:pStyle w:val="FootnoteText"/>
        <w:rPr>
          <w:rFonts w:ascii="Arial" w:hAnsi="Arial" w:cs="Arial"/>
          <w:sz w:val="16"/>
          <w:szCs w:val="16"/>
        </w:rPr>
      </w:pPr>
      <w:r w:rsidRPr="00623AC1">
        <w:rPr>
          <w:rStyle w:val="FootnoteReference"/>
          <w:rFonts w:ascii="Arial" w:hAnsi="Arial" w:cs="Arial"/>
          <w:sz w:val="16"/>
          <w:szCs w:val="16"/>
        </w:rPr>
        <w:footnoteRef/>
      </w:r>
      <w:r w:rsidRPr="00623AC1">
        <w:rPr>
          <w:rFonts w:ascii="Arial" w:hAnsi="Arial" w:cs="Arial"/>
          <w:sz w:val="16"/>
          <w:szCs w:val="16"/>
        </w:rPr>
        <w:t xml:space="preserve"> Further information on wages will be accessible in our Homelessness review document</w:t>
      </w:r>
      <w:r>
        <w:rPr>
          <w:rFonts w:ascii="Arial" w:hAnsi="Arial" w:cs="Arial"/>
          <w:sz w:val="16"/>
          <w:szCs w:val="16"/>
        </w:rPr>
        <w:t xml:space="preserve"> that will be published alongside the final strategy document</w:t>
      </w:r>
      <w:r w:rsidRPr="00623AC1">
        <w:rPr>
          <w:rFonts w:ascii="Arial" w:hAnsi="Arial" w:cs="Arial"/>
          <w:sz w:val="16"/>
          <w:szCs w:val="16"/>
        </w:rPr>
        <w:t>.</w:t>
      </w:r>
    </w:p>
  </w:footnote>
  <w:footnote w:id="8">
    <w:p w14:paraId="02CE031E" w14:textId="77777777" w:rsidR="00492246" w:rsidRPr="00EC0CDF" w:rsidRDefault="00492246">
      <w:pPr>
        <w:pStyle w:val="FootnoteText"/>
        <w:rPr>
          <w:rFonts w:ascii="Arial" w:hAnsi="Arial" w:cs="Arial"/>
          <w:sz w:val="16"/>
          <w:szCs w:val="16"/>
        </w:rPr>
      </w:pPr>
      <w:r w:rsidRPr="00EC0CDF">
        <w:rPr>
          <w:rStyle w:val="FootnoteReference"/>
          <w:rFonts w:ascii="Arial" w:hAnsi="Arial" w:cs="Arial"/>
          <w:sz w:val="16"/>
          <w:szCs w:val="16"/>
        </w:rPr>
        <w:footnoteRef/>
      </w:r>
      <w:r w:rsidRPr="00EC0CDF">
        <w:rPr>
          <w:rFonts w:ascii="Arial" w:hAnsi="Arial" w:cs="Arial"/>
          <w:sz w:val="16"/>
          <w:szCs w:val="16"/>
        </w:rPr>
        <w:t xml:space="preserve"> </w:t>
      </w:r>
      <w:hyperlink r:id="rId2" w:history="1">
        <w:r w:rsidRPr="00EC0CDF">
          <w:rPr>
            <w:rStyle w:val="Hyperlink"/>
            <w:rFonts w:ascii="Arial" w:hAnsi="Arial" w:cs="Arial"/>
            <w:sz w:val="16"/>
            <w:szCs w:val="16"/>
          </w:rPr>
          <w:t>https://www.greaternorwichgrowth.org.uk/planning/monitoring/</w:t>
        </w:r>
      </w:hyperlink>
      <w:r w:rsidRPr="00EC0CDF">
        <w:rPr>
          <w:rFonts w:ascii="Arial" w:hAnsi="Arial" w:cs="Arial"/>
          <w:sz w:val="16"/>
          <w:szCs w:val="16"/>
        </w:rPr>
        <w:t xml:space="preserve"> Accessed on 14/02/2020</w:t>
      </w:r>
    </w:p>
  </w:footnote>
  <w:footnote w:id="9">
    <w:p w14:paraId="345A3957" w14:textId="77777777" w:rsidR="00492246" w:rsidRPr="000161D2" w:rsidRDefault="00492246" w:rsidP="00C6769B">
      <w:pPr>
        <w:pStyle w:val="FootnoteText"/>
        <w:rPr>
          <w:rFonts w:ascii="Arial" w:hAnsi="Arial" w:cs="Arial"/>
          <w:sz w:val="16"/>
          <w:szCs w:val="16"/>
        </w:rPr>
      </w:pPr>
      <w:r w:rsidRPr="000161D2">
        <w:rPr>
          <w:rStyle w:val="FootnoteReference"/>
          <w:rFonts w:ascii="Arial" w:hAnsi="Arial" w:cs="Arial"/>
          <w:sz w:val="16"/>
          <w:szCs w:val="16"/>
        </w:rPr>
        <w:footnoteRef/>
      </w:r>
      <w:r w:rsidRPr="000161D2">
        <w:rPr>
          <w:rFonts w:ascii="Arial" w:hAnsi="Arial" w:cs="Arial"/>
          <w:sz w:val="16"/>
          <w:szCs w:val="16"/>
        </w:rPr>
        <w:t xml:space="preserve"> Fig 102 Central Norfolk SHMA 2017 (annualised).</w:t>
      </w:r>
    </w:p>
  </w:footnote>
  <w:footnote w:id="10">
    <w:p w14:paraId="0456953B" w14:textId="77777777" w:rsidR="00492246" w:rsidRDefault="00492246" w:rsidP="00C6769B">
      <w:pPr>
        <w:pStyle w:val="FootnoteText"/>
      </w:pPr>
      <w:r w:rsidRPr="00A03F2D">
        <w:rPr>
          <w:rStyle w:val="FootnoteReference"/>
          <w:rFonts w:ascii="Arial" w:hAnsi="Arial" w:cs="Arial"/>
          <w:sz w:val="16"/>
          <w:szCs w:val="16"/>
        </w:rPr>
        <w:footnoteRef/>
      </w:r>
      <w:r w:rsidRPr="00A03F2D">
        <w:rPr>
          <w:rFonts w:ascii="Arial" w:hAnsi="Arial" w:cs="Arial"/>
          <w:sz w:val="16"/>
          <w:szCs w:val="16"/>
        </w:rPr>
        <w:t xml:space="preserve"> Ibid</w:t>
      </w:r>
      <w:r>
        <w:t>.</w:t>
      </w:r>
    </w:p>
  </w:footnote>
  <w:footnote w:id="11">
    <w:p w14:paraId="08A79BA7" w14:textId="77777777" w:rsidR="00492246" w:rsidRPr="000244FE" w:rsidRDefault="00492246">
      <w:pPr>
        <w:pStyle w:val="FootnoteText"/>
        <w:rPr>
          <w:rFonts w:ascii="Arial" w:hAnsi="Arial" w:cs="Arial"/>
          <w:sz w:val="16"/>
          <w:szCs w:val="16"/>
        </w:rPr>
      </w:pPr>
      <w:r w:rsidRPr="000244FE">
        <w:rPr>
          <w:rStyle w:val="FootnoteReference"/>
          <w:rFonts w:ascii="Arial" w:hAnsi="Arial" w:cs="Arial"/>
          <w:sz w:val="16"/>
          <w:szCs w:val="16"/>
        </w:rPr>
        <w:footnoteRef/>
      </w:r>
      <w:r w:rsidRPr="000244FE">
        <w:rPr>
          <w:rFonts w:ascii="Arial" w:hAnsi="Arial" w:cs="Arial"/>
          <w:sz w:val="16"/>
          <w:szCs w:val="16"/>
        </w:rPr>
        <w:t xml:space="preserve"> </w:t>
      </w:r>
      <w:r>
        <w:rPr>
          <w:rFonts w:ascii="Arial" w:hAnsi="Arial" w:cs="Arial"/>
          <w:sz w:val="16"/>
          <w:szCs w:val="16"/>
        </w:rPr>
        <w:t xml:space="preserve">MHCLG, Page 3, </w:t>
      </w:r>
      <w:r w:rsidRPr="00AB6F64">
        <w:rPr>
          <w:rFonts w:ascii="Arial" w:hAnsi="Arial" w:cs="Arial"/>
          <w:i/>
          <w:sz w:val="16"/>
          <w:szCs w:val="16"/>
        </w:rPr>
        <w:t>statutory homelessness statistical release</w:t>
      </w:r>
      <w:r>
        <w:rPr>
          <w:rFonts w:ascii="Arial" w:hAnsi="Arial" w:cs="Arial"/>
          <w:sz w:val="16"/>
          <w:szCs w:val="16"/>
        </w:rPr>
        <w:t>, England 2018/19, (March 2019).</w:t>
      </w:r>
    </w:p>
  </w:footnote>
  <w:footnote w:id="12">
    <w:p w14:paraId="210B1762" w14:textId="77777777" w:rsidR="00492246" w:rsidRPr="004D5C42" w:rsidRDefault="00492246" w:rsidP="00D50326">
      <w:pPr>
        <w:pStyle w:val="FootnoteText"/>
        <w:rPr>
          <w:rFonts w:ascii="Arial" w:hAnsi="Arial" w:cs="Arial"/>
          <w:sz w:val="16"/>
          <w:szCs w:val="16"/>
        </w:rPr>
      </w:pPr>
      <w:r w:rsidRPr="004D5C42">
        <w:rPr>
          <w:rStyle w:val="FootnoteReference"/>
          <w:rFonts w:ascii="Arial" w:hAnsi="Arial" w:cs="Arial"/>
          <w:sz w:val="16"/>
          <w:szCs w:val="16"/>
        </w:rPr>
        <w:footnoteRef/>
      </w:r>
      <w:r w:rsidRPr="004D5C42">
        <w:rPr>
          <w:rFonts w:ascii="Arial" w:hAnsi="Arial" w:cs="Arial"/>
          <w:sz w:val="16"/>
          <w:szCs w:val="16"/>
        </w:rPr>
        <w:t xml:space="preserve"> </w:t>
      </w:r>
      <w:r>
        <w:rPr>
          <w:rFonts w:ascii="Arial" w:hAnsi="Arial" w:cs="Arial"/>
          <w:sz w:val="16"/>
          <w:szCs w:val="16"/>
        </w:rPr>
        <w:t xml:space="preserve">Bramley, G, 2017, </w:t>
      </w:r>
      <w:r w:rsidRPr="004D5C42">
        <w:rPr>
          <w:rFonts w:ascii="Arial" w:hAnsi="Arial" w:cs="Arial"/>
          <w:i/>
          <w:sz w:val="16"/>
          <w:szCs w:val="16"/>
        </w:rPr>
        <w:t>Homelessness projections: Core homelessness in Great Britain, Summary report</w:t>
      </w:r>
      <w:r>
        <w:rPr>
          <w:rFonts w:ascii="Arial" w:hAnsi="Arial" w:cs="Arial"/>
          <w:sz w:val="16"/>
          <w:szCs w:val="16"/>
        </w:rPr>
        <w:t>, Heriot Watt University.</w:t>
      </w:r>
    </w:p>
  </w:footnote>
  <w:footnote w:id="13">
    <w:p w14:paraId="418CC98B" w14:textId="77777777" w:rsidR="00492246" w:rsidRPr="001B3C21" w:rsidRDefault="00492246">
      <w:pPr>
        <w:pStyle w:val="FootnoteText"/>
        <w:rPr>
          <w:rFonts w:ascii="Arial" w:hAnsi="Arial" w:cs="Arial"/>
          <w:sz w:val="16"/>
          <w:szCs w:val="16"/>
        </w:rPr>
      </w:pPr>
      <w:r w:rsidRPr="001B3C21">
        <w:rPr>
          <w:rStyle w:val="FootnoteReference"/>
          <w:rFonts w:ascii="Arial" w:hAnsi="Arial" w:cs="Arial"/>
          <w:sz w:val="16"/>
          <w:szCs w:val="16"/>
        </w:rPr>
        <w:footnoteRef/>
      </w:r>
      <w:r w:rsidRPr="001B3C21">
        <w:rPr>
          <w:rFonts w:ascii="Arial" w:hAnsi="Arial" w:cs="Arial"/>
          <w:sz w:val="16"/>
          <w:szCs w:val="16"/>
        </w:rPr>
        <w:t xml:space="preserve"> </w:t>
      </w:r>
      <w:hyperlink r:id="rId3" w:anchor="ls" w:history="1">
        <w:r w:rsidRPr="001B3C21">
          <w:rPr>
            <w:rStyle w:val="Hyperlink"/>
            <w:rFonts w:ascii="Arial" w:hAnsi="Arial" w:cs="Arial"/>
            <w:sz w:val="16"/>
            <w:szCs w:val="16"/>
          </w:rPr>
          <w:t>https://www.nomisweb.co.uk/reports/lmp/la/1946157237/report.aspx?#ls</w:t>
        </w:r>
      </w:hyperlink>
      <w:r w:rsidRPr="001B3C21">
        <w:rPr>
          <w:rFonts w:ascii="Arial" w:hAnsi="Arial" w:cs="Arial"/>
          <w:sz w:val="16"/>
          <w:szCs w:val="16"/>
        </w:rPr>
        <w:t xml:space="preserve"> accessed on 05/02/2020</w:t>
      </w:r>
    </w:p>
  </w:footnote>
  <w:footnote w:id="14">
    <w:p w14:paraId="511CA326" w14:textId="77777777" w:rsidR="00492246" w:rsidRDefault="00492246" w:rsidP="006900B4">
      <w:pPr>
        <w:pStyle w:val="FootnoteText"/>
      </w:pPr>
      <w:r>
        <w:rPr>
          <w:rStyle w:val="FootnoteReference"/>
        </w:rPr>
        <w:footnoteRef/>
      </w:r>
      <w:r>
        <w:t xml:space="preserve"> </w:t>
      </w:r>
      <w:hyperlink r:id="rId4" w:history="1">
        <w:r>
          <w:rPr>
            <w:rStyle w:val="Hyperlink"/>
          </w:rPr>
          <w:t>https://www.womensaid.org.uk/no-woman-turned-away/</w:t>
        </w:r>
      </w:hyperlink>
      <w:r>
        <w:t xml:space="preserve"> </w:t>
      </w:r>
    </w:p>
  </w:footnote>
  <w:footnote w:id="15">
    <w:p w14:paraId="52ABD7D9" w14:textId="77777777" w:rsidR="00492246" w:rsidRPr="00F44565" w:rsidRDefault="00492246">
      <w:pPr>
        <w:pStyle w:val="FootnoteText"/>
        <w:rPr>
          <w:rFonts w:ascii="Arial" w:hAnsi="Arial" w:cs="Arial"/>
          <w:sz w:val="16"/>
          <w:szCs w:val="16"/>
        </w:rPr>
      </w:pPr>
      <w:r w:rsidRPr="00F44565">
        <w:rPr>
          <w:rStyle w:val="FootnoteReference"/>
          <w:rFonts w:ascii="Arial" w:hAnsi="Arial" w:cs="Arial"/>
          <w:sz w:val="16"/>
          <w:szCs w:val="16"/>
        </w:rPr>
        <w:footnoteRef/>
      </w:r>
      <w:r w:rsidRPr="00F44565">
        <w:rPr>
          <w:rFonts w:ascii="Arial" w:hAnsi="Arial" w:cs="Arial"/>
          <w:sz w:val="16"/>
          <w:szCs w:val="16"/>
        </w:rPr>
        <w:t xml:space="preserve"> This data recording system no longer exists</w:t>
      </w:r>
      <w:r>
        <w:rPr>
          <w:rFonts w:ascii="Arial" w:hAnsi="Arial" w:cs="Arial"/>
          <w:sz w:val="16"/>
          <w:szCs w:val="16"/>
        </w:rPr>
        <w:t>,</w:t>
      </w:r>
      <w:r w:rsidRPr="00F44565">
        <w:rPr>
          <w:rFonts w:ascii="Arial" w:hAnsi="Arial" w:cs="Arial"/>
          <w:sz w:val="16"/>
          <w:szCs w:val="16"/>
        </w:rPr>
        <w:t xml:space="preserve"> being superseded by the HRA Act </w:t>
      </w:r>
      <w:r>
        <w:rPr>
          <w:rFonts w:ascii="Arial" w:hAnsi="Arial" w:cs="Arial"/>
          <w:sz w:val="16"/>
          <w:szCs w:val="16"/>
        </w:rPr>
        <w:t xml:space="preserve">2017 </w:t>
      </w:r>
      <w:r w:rsidRPr="00F44565">
        <w:rPr>
          <w:rFonts w:ascii="Arial" w:hAnsi="Arial" w:cs="Arial"/>
          <w:sz w:val="16"/>
          <w:szCs w:val="16"/>
        </w:rPr>
        <w:t>statistical recording requirements.</w:t>
      </w:r>
    </w:p>
  </w:footnote>
  <w:footnote w:id="16">
    <w:p w14:paraId="25848104" w14:textId="77777777" w:rsidR="00492246" w:rsidRPr="0041574C" w:rsidRDefault="00492246">
      <w:pPr>
        <w:pStyle w:val="FootnoteText"/>
        <w:rPr>
          <w:rFonts w:ascii="Arial" w:hAnsi="Arial" w:cs="Arial"/>
          <w:sz w:val="16"/>
          <w:szCs w:val="16"/>
        </w:rPr>
      </w:pPr>
      <w:r w:rsidRPr="0041574C">
        <w:rPr>
          <w:rStyle w:val="FootnoteReference"/>
          <w:rFonts w:ascii="Arial" w:hAnsi="Arial" w:cs="Arial"/>
          <w:sz w:val="16"/>
          <w:szCs w:val="16"/>
        </w:rPr>
        <w:footnoteRef/>
      </w:r>
      <w:r w:rsidRPr="0041574C">
        <w:rPr>
          <w:rFonts w:ascii="Arial" w:hAnsi="Arial" w:cs="Arial"/>
          <w:sz w:val="16"/>
          <w:szCs w:val="16"/>
        </w:rPr>
        <w:t xml:space="preserve"> Page XXIII – 1, CRISIS, </w:t>
      </w:r>
      <w:r w:rsidRPr="0041574C">
        <w:rPr>
          <w:rFonts w:ascii="Arial" w:hAnsi="Arial" w:cs="Arial"/>
          <w:i/>
          <w:sz w:val="16"/>
          <w:szCs w:val="16"/>
        </w:rPr>
        <w:t>The homelessness monitor: England, 2019.</w:t>
      </w:r>
    </w:p>
  </w:footnote>
  <w:footnote w:id="17">
    <w:p w14:paraId="6756407B" w14:textId="77777777" w:rsidR="00492246" w:rsidRPr="004D60D4" w:rsidRDefault="00492246" w:rsidP="009F5FBF">
      <w:pPr>
        <w:pStyle w:val="FootnoteText"/>
        <w:rPr>
          <w:rFonts w:ascii="Arial" w:hAnsi="Arial" w:cs="Arial"/>
          <w:sz w:val="16"/>
          <w:szCs w:val="16"/>
        </w:rPr>
      </w:pPr>
      <w:r w:rsidRPr="004D60D4">
        <w:rPr>
          <w:rStyle w:val="FootnoteReference"/>
          <w:rFonts w:ascii="Arial" w:hAnsi="Arial" w:cs="Arial"/>
          <w:sz w:val="16"/>
          <w:szCs w:val="16"/>
        </w:rPr>
        <w:footnoteRef/>
      </w:r>
      <w:r w:rsidRPr="004D60D4">
        <w:rPr>
          <w:rFonts w:ascii="Arial" w:hAnsi="Arial" w:cs="Arial"/>
          <w:sz w:val="16"/>
          <w:szCs w:val="16"/>
        </w:rPr>
        <w:t xml:space="preserve"> 16 to 25 year olds</w:t>
      </w:r>
    </w:p>
  </w:footnote>
  <w:footnote w:id="18">
    <w:p w14:paraId="72F49A34" w14:textId="77777777" w:rsidR="00492246" w:rsidRPr="004D60D4" w:rsidRDefault="00492246" w:rsidP="009F5FBF">
      <w:pPr>
        <w:pStyle w:val="FootnoteText"/>
        <w:rPr>
          <w:rFonts w:ascii="Arial" w:hAnsi="Arial" w:cs="Arial"/>
          <w:sz w:val="16"/>
          <w:szCs w:val="16"/>
        </w:rPr>
      </w:pPr>
      <w:r w:rsidRPr="004D60D4">
        <w:rPr>
          <w:rStyle w:val="FootnoteReference"/>
          <w:rFonts w:ascii="Arial" w:hAnsi="Arial" w:cs="Arial"/>
          <w:sz w:val="16"/>
          <w:szCs w:val="16"/>
        </w:rPr>
        <w:footnoteRef/>
      </w:r>
      <w:r w:rsidRPr="004D60D4">
        <w:rPr>
          <w:rFonts w:ascii="Arial" w:hAnsi="Arial" w:cs="Arial"/>
          <w:sz w:val="16"/>
          <w:szCs w:val="16"/>
        </w:rPr>
        <w:t xml:space="preserve"> 26 to 35 year olds</w:t>
      </w:r>
    </w:p>
  </w:footnote>
  <w:footnote w:id="19">
    <w:p w14:paraId="2CCCAFD5" w14:textId="77777777" w:rsidR="00492246" w:rsidRPr="00016A96" w:rsidRDefault="00492246">
      <w:pPr>
        <w:pStyle w:val="FootnoteText"/>
        <w:rPr>
          <w:rFonts w:ascii="Arial" w:hAnsi="Arial" w:cs="Arial"/>
          <w:sz w:val="16"/>
          <w:szCs w:val="16"/>
        </w:rPr>
      </w:pPr>
      <w:r w:rsidRPr="00016A96">
        <w:rPr>
          <w:rStyle w:val="FootnoteReference"/>
          <w:rFonts w:ascii="Arial" w:hAnsi="Arial" w:cs="Arial"/>
          <w:sz w:val="16"/>
          <w:szCs w:val="16"/>
        </w:rPr>
        <w:footnoteRef/>
      </w:r>
      <w:r w:rsidRPr="00016A96">
        <w:rPr>
          <w:rFonts w:ascii="Arial" w:hAnsi="Arial" w:cs="Arial"/>
          <w:sz w:val="16"/>
          <w:szCs w:val="16"/>
        </w:rPr>
        <w:t xml:space="preserve"> </w:t>
      </w:r>
      <w:hyperlink r:id="rId5" w:history="1">
        <w:r w:rsidRPr="00016A96">
          <w:rPr>
            <w:rStyle w:val="Hyperlink"/>
            <w:rFonts w:ascii="Arial" w:hAnsi="Arial" w:cs="Arial"/>
            <w:sz w:val="16"/>
            <w:szCs w:val="16"/>
          </w:rPr>
          <w:t>https://www.norfolkinsight.org.uk/population/report/view/b15822d80ec54439bb12134b7c857bb9/E07000149</w:t>
        </w:r>
      </w:hyperlink>
      <w:r w:rsidRPr="00016A96">
        <w:rPr>
          <w:rFonts w:ascii="Arial" w:hAnsi="Arial" w:cs="Arial"/>
          <w:sz w:val="16"/>
          <w:szCs w:val="16"/>
        </w:rPr>
        <w:t xml:space="preserve"> Accessed on 12/02/2020.</w:t>
      </w:r>
    </w:p>
  </w:footnote>
  <w:footnote w:id="20">
    <w:p w14:paraId="43824A6E" w14:textId="77777777" w:rsidR="00492246" w:rsidRDefault="00492246">
      <w:pPr>
        <w:pStyle w:val="FootnoteText"/>
      </w:pPr>
      <w:r w:rsidRPr="00E07351">
        <w:rPr>
          <w:rStyle w:val="FootnoteReference"/>
          <w:rFonts w:ascii="Arial" w:hAnsi="Arial" w:cs="Arial"/>
          <w:sz w:val="16"/>
          <w:szCs w:val="16"/>
        </w:rPr>
        <w:footnoteRef/>
      </w:r>
      <w:r w:rsidRPr="00E07351">
        <w:rPr>
          <w:rFonts w:ascii="Arial" w:hAnsi="Arial" w:cs="Arial"/>
          <w:sz w:val="16"/>
          <w:szCs w:val="16"/>
        </w:rPr>
        <w:t xml:space="preserve"> Page XIV, The</w:t>
      </w:r>
      <w:r>
        <w:t xml:space="preserve"> </w:t>
      </w:r>
      <w:r w:rsidRPr="0041574C">
        <w:rPr>
          <w:rFonts w:ascii="Arial" w:hAnsi="Arial" w:cs="Arial"/>
          <w:sz w:val="16"/>
          <w:szCs w:val="16"/>
        </w:rPr>
        <w:t xml:space="preserve">CRISIS, </w:t>
      </w:r>
      <w:r w:rsidRPr="0041574C">
        <w:rPr>
          <w:rFonts w:ascii="Arial" w:hAnsi="Arial" w:cs="Arial"/>
          <w:i/>
          <w:sz w:val="16"/>
          <w:szCs w:val="16"/>
        </w:rPr>
        <w:t>The homelessness monitor: England, 2019.</w:t>
      </w:r>
    </w:p>
  </w:footnote>
  <w:footnote w:id="21">
    <w:p w14:paraId="786E45CF" w14:textId="77777777" w:rsidR="00492246" w:rsidRPr="00315019" w:rsidRDefault="00492246">
      <w:pPr>
        <w:pStyle w:val="FootnoteText"/>
        <w:rPr>
          <w:rFonts w:ascii="Arial" w:hAnsi="Arial" w:cs="Arial"/>
          <w:sz w:val="16"/>
          <w:szCs w:val="16"/>
        </w:rPr>
      </w:pPr>
      <w:r w:rsidRPr="00315019">
        <w:rPr>
          <w:rStyle w:val="FootnoteReference"/>
          <w:rFonts w:ascii="Arial" w:hAnsi="Arial" w:cs="Arial"/>
          <w:sz w:val="16"/>
          <w:szCs w:val="16"/>
        </w:rPr>
        <w:footnoteRef/>
      </w:r>
      <w:r w:rsidRPr="00315019">
        <w:rPr>
          <w:rFonts w:ascii="Arial" w:hAnsi="Arial" w:cs="Arial"/>
          <w:sz w:val="16"/>
          <w:szCs w:val="16"/>
        </w:rPr>
        <w:t xml:space="preserve"> Mancroft Advice Project saw 375,421 and 463 young people in the years 2016, 17 and 18.</w:t>
      </w:r>
    </w:p>
  </w:footnote>
  <w:footnote w:id="22">
    <w:p w14:paraId="39790CF6" w14:textId="77777777" w:rsidR="00492246" w:rsidRPr="00BA4363" w:rsidRDefault="00492246">
      <w:pPr>
        <w:pStyle w:val="FootnoteText"/>
        <w:rPr>
          <w:rFonts w:ascii="Arial" w:hAnsi="Arial" w:cs="Arial"/>
          <w:sz w:val="16"/>
          <w:szCs w:val="16"/>
        </w:rPr>
      </w:pPr>
      <w:r w:rsidRPr="00BA4363">
        <w:rPr>
          <w:rStyle w:val="FootnoteReference"/>
          <w:rFonts w:ascii="Arial" w:hAnsi="Arial" w:cs="Arial"/>
          <w:sz w:val="16"/>
          <w:szCs w:val="16"/>
        </w:rPr>
        <w:footnoteRef/>
      </w:r>
      <w:r w:rsidRPr="00BA4363">
        <w:rPr>
          <w:rFonts w:ascii="Arial" w:hAnsi="Arial" w:cs="Arial"/>
          <w:sz w:val="16"/>
          <w:szCs w:val="16"/>
        </w:rPr>
        <w:t xml:space="preserve"> The full response from the Youth Advisory Board members will be included in the Greater Norwich homelessness review document and will be published alongside the final strategy.</w:t>
      </w:r>
    </w:p>
  </w:footnote>
  <w:footnote w:id="23">
    <w:p w14:paraId="73F30F75" w14:textId="77777777" w:rsidR="00492246" w:rsidRDefault="00492246">
      <w:pPr>
        <w:pStyle w:val="FootnoteText"/>
      </w:pPr>
      <w:r>
        <w:rPr>
          <w:rStyle w:val="FootnoteReference"/>
        </w:rPr>
        <w:footnoteRef/>
      </w:r>
      <w:r>
        <w:t xml:space="preserve"> </w:t>
      </w:r>
      <w:r w:rsidRPr="003B0B6E">
        <w:rPr>
          <w:rFonts w:ascii="Arial" w:hAnsi="Arial" w:cs="Arial"/>
          <w:sz w:val="16"/>
          <w:szCs w:val="16"/>
        </w:rPr>
        <w:t>Select C</w:t>
      </w:r>
      <w:r>
        <w:rPr>
          <w:rFonts w:ascii="Arial" w:hAnsi="Arial" w:cs="Arial"/>
          <w:sz w:val="16"/>
          <w:szCs w:val="16"/>
        </w:rPr>
        <w:t>ommit</w:t>
      </w:r>
      <w:r w:rsidRPr="003B0B6E">
        <w:rPr>
          <w:rFonts w:ascii="Arial" w:hAnsi="Arial" w:cs="Arial"/>
          <w:sz w:val="16"/>
          <w:szCs w:val="16"/>
        </w:rPr>
        <w:t>tee on Financial Inclusion 2017</w:t>
      </w:r>
    </w:p>
  </w:footnote>
  <w:footnote w:id="24">
    <w:p w14:paraId="4EA4F064" w14:textId="77777777" w:rsidR="00492246" w:rsidRPr="004B19D5" w:rsidRDefault="00492246" w:rsidP="004B10FE">
      <w:pPr>
        <w:pStyle w:val="FootnoteText"/>
        <w:rPr>
          <w:rFonts w:ascii="Arial" w:hAnsi="Arial" w:cs="Arial"/>
          <w:sz w:val="16"/>
          <w:szCs w:val="16"/>
        </w:rPr>
      </w:pPr>
      <w:r w:rsidRPr="004B19D5">
        <w:rPr>
          <w:rStyle w:val="FootnoteReference"/>
          <w:rFonts w:ascii="Arial" w:hAnsi="Arial" w:cs="Arial"/>
          <w:sz w:val="16"/>
          <w:szCs w:val="16"/>
        </w:rPr>
        <w:footnoteRef/>
      </w:r>
      <w:r w:rsidRPr="004B19D5">
        <w:rPr>
          <w:rFonts w:ascii="Arial" w:hAnsi="Arial" w:cs="Arial"/>
          <w:sz w:val="16"/>
          <w:szCs w:val="16"/>
        </w:rPr>
        <w:t xml:space="preserve"> The Trussell Trust 2019</w:t>
      </w:r>
    </w:p>
  </w:footnote>
  <w:footnote w:id="25">
    <w:p w14:paraId="28A713F5" w14:textId="77777777" w:rsidR="00492246" w:rsidRDefault="00492246">
      <w:pPr>
        <w:pStyle w:val="FootnoteText"/>
      </w:pPr>
      <w:r>
        <w:rPr>
          <w:rStyle w:val="FootnoteReference"/>
        </w:rPr>
        <w:footnoteRef/>
      </w:r>
      <w:r>
        <w:t xml:space="preserve"> </w:t>
      </w:r>
      <w:hyperlink r:id="rId6" w:history="1">
        <w:r w:rsidRPr="004B19D5">
          <w:rPr>
            <w:rFonts w:ascii="Arial" w:hAnsi="Arial" w:cs="Arial"/>
            <w:color w:val="0000FF" w:themeColor="hyperlink"/>
            <w:u w:val="single"/>
          </w:rPr>
          <w:t>(Shelter 2018)</w:t>
        </w:r>
      </w:hyperlink>
      <w:r w:rsidRPr="004B19D5">
        <w:rPr>
          <w:rFonts w:ascii="Arial" w:hAnsi="Arial" w:cs="Arial"/>
          <w:color w:val="0000FF" w:themeColor="hyperlink"/>
          <w:u w:val="single"/>
        </w:rPr>
        <w:t>.</w:t>
      </w:r>
    </w:p>
  </w:footnote>
  <w:footnote w:id="26">
    <w:p w14:paraId="2CB55980" w14:textId="77777777" w:rsidR="00492246" w:rsidRDefault="00492246">
      <w:pPr>
        <w:pStyle w:val="FootnoteText"/>
      </w:pPr>
      <w:r>
        <w:rPr>
          <w:rStyle w:val="FootnoteReference"/>
        </w:rPr>
        <w:footnoteRef/>
      </w:r>
      <w:r>
        <w:t xml:space="preserve"> </w:t>
      </w:r>
      <w:r w:rsidRPr="004B19D5">
        <w:rPr>
          <w:rFonts w:ascii="Arial" w:hAnsi="Arial" w:cs="Arial"/>
          <w:color w:val="0000FF" w:themeColor="hyperlink"/>
          <w:u w:val="single"/>
        </w:rPr>
        <w:t>McClenaghan et al, 2019</w:t>
      </w:r>
    </w:p>
  </w:footnote>
  <w:footnote w:id="27">
    <w:p w14:paraId="44373F85" w14:textId="77777777" w:rsidR="00492246" w:rsidRDefault="00492246">
      <w:pPr>
        <w:pStyle w:val="FootnoteText"/>
      </w:pPr>
      <w:r>
        <w:rPr>
          <w:rStyle w:val="FootnoteReference"/>
        </w:rPr>
        <w:footnoteRef/>
      </w:r>
      <w:r>
        <w:t xml:space="preserve"> </w:t>
      </w:r>
      <w:r w:rsidRPr="004B19D5">
        <w:rPr>
          <w:rFonts w:ascii="Arial" w:hAnsi="Arial" w:cs="Arial"/>
          <w:color w:val="000000"/>
        </w:rPr>
        <w:t xml:space="preserve">Fahmy </w:t>
      </w:r>
      <w:r w:rsidRPr="004B19D5">
        <w:rPr>
          <w:rFonts w:ascii="Arial" w:hAnsi="Arial" w:cs="Arial"/>
          <w:i/>
          <w:iCs/>
          <w:color w:val="000000"/>
        </w:rPr>
        <w:t>et al.</w:t>
      </w:r>
      <w:r w:rsidRPr="004B19D5">
        <w:rPr>
          <w:rFonts w:ascii="Arial" w:hAnsi="Arial" w:cs="Arial"/>
          <w:color w:val="000000"/>
        </w:rPr>
        <w:t xml:space="preserve">, </w:t>
      </w:r>
      <w:r w:rsidRPr="004B19D5">
        <w:rPr>
          <w:rFonts w:ascii="Arial" w:hAnsi="Arial" w:cs="Arial"/>
          <w:color w:val="000081"/>
        </w:rPr>
        <w:t>2016</w:t>
      </w:r>
    </w:p>
  </w:footnote>
  <w:footnote w:id="28">
    <w:p w14:paraId="168C97C0" w14:textId="77777777" w:rsidR="00492246" w:rsidRDefault="00492246">
      <w:pPr>
        <w:pStyle w:val="FootnoteText"/>
      </w:pPr>
      <w:r>
        <w:rPr>
          <w:rStyle w:val="FootnoteReference"/>
        </w:rPr>
        <w:footnoteRef/>
      </w:r>
      <w:r>
        <w:t xml:space="preserve"> </w:t>
      </w:r>
      <w:r w:rsidRPr="004B19D5">
        <w:rPr>
          <w:rFonts w:ascii="Arial" w:hAnsi="Arial" w:cs="Arial"/>
          <w:color w:val="000000"/>
        </w:rPr>
        <w:t xml:space="preserve">Hutchinson </w:t>
      </w:r>
      <w:r w:rsidRPr="004B19D5">
        <w:rPr>
          <w:rFonts w:ascii="Arial" w:hAnsi="Arial" w:cs="Arial"/>
          <w:i/>
          <w:iCs/>
          <w:color w:val="000000"/>
        </w:rPr>
        <w:t>et al.</w:t>
      </w:r>
      <w:r w:rsidRPr="004B19D5">
        <w:rPr>
          <w:rFonts w:ascii="Arial" w:hAnsi="Arial" w:cs="Arial"/>
          <w:color w:val="000000"/>
        </w:rPr>
        <w:t xml:space="preserve">, </w:t>
      </w:r>
      <w:r w:rsidRPr="004B19D5">
        <w:rPr>
          <w:rFonts w:ascii="Arial" w:hAnsi="Arial" w:cs="Arial"/>
          <w:color w:val="000081"/>
        </w:rPr>
        <w:t>2015</w:t>
      </w:r>
    </w:p>
  </w:footnote>
  <w:footnote w:id="29">
    <w:p w14:paraId="2AA670B3" w14:textId="77777777" w:rsidR="00492246" w:rsidRPr="003A7DBE" w:rsidRDefault="00492246" w:rsidP="004B10FE">
      <w:pPr>
        <w:pStyle w:val="FootnoteText"/>
        <w:rPr>
          <w:rFonts w:ascii="Arial" w:hAnsi="Arial" w:cs="Arial"/>
          <w:sz w:val="16"/>
          <w:szCs w:val="16"/>
        </w:rPr>
      </w:pPr>
      <w:r w:rsidRPr="003A7DBE">
        <w:rPr>
          <w:rStyle w:val="FootnoteReference"/>
          <w:rFonts w:ascii="Arial" w:hAnsi="Arial" w:cs="Arial"/>
          <w:sz w:val="16"/>
          <w:szCs w:val="16"/>
        </w:rPr>
        <w:footnoteRef/>
      </w:r>
      <w:r w:rsidRPr="003A7DBE">
        <w:rPr>
          <w:rFonts w:ascii="Arial" w:hAnsi="Arial" w:cs="Arial"/>
          <w:sz w:val="16"/>
          <w:szCs w:val="16"/>
        </w:rPr>
        <w:t xml:space="preserve"> </w:t>
      </w:r>
      <w:r>
        <w:rPr>
          <w:rFonts w:ascii="Arial" w:hAnsi="Arial" w:cs="Arial"/>
          <w:sz w:val="16"/>
          <w:szCs w:val="16"/>
        </w:rPr>
        <w:t xml:space="preserve">Bramley &amp; Fitzpatrick, </w:t>
      </w:r>
      <w:r w:rsidRPr="008517BF">
        <w:rPr>
          <w:rFonts w:ascii="Arial" w:hAnsi="Arial" w:cs="Arial"/>
          <w:i/>
          <w:sz w:val="16"/>
          <w:szCs w:val="16"/>
        </w:rPr>
        <w:t>Homelessness in the UK: who is most at risk?</w:t>
      </w:r>
      <w:r>
        <w:rPr>
          <w:rFonts w:ascii="Arial" w:hAnsi="Arial" w:cs="Arial"/>
          <w:sz w:val="16"/>
          <w:szCs w:val="16"/>
        </w:rPr>
        <w:t>, Housing studies,2018</w:t>
      </w:r>
    </w:p>
  </w:footnote>
  <w:footnote w:id="30">
    <w:p w14:paraId="4E3E5599" w14:textId="77777777" w:rsidR="00492246" w:rsidRDefault="00492246">
      <w:pPr>
        <w:pStyle w:val="FootnoteText"/>
      </w:pPr>
      <w:r>
        <w:rPr>
          <w:rStyle w:val="FootnoteReference"/>
        </w:rPr>
        <w:footnoteRef/>
      </w:r>
      <w:r>
        <w:t xml:space="preserve"> </w:t>
      </w:r>
      <w:r w:rsidRPr="004B19D5">
        <w:rPr>
          <w:rFonts w:ascii="Arial" w:hAnsi="Arial" w:cs="Arial"/>
          <w:color w:val="000000"/>
        </w:rPr>
        <w:t>(Johnson et al., 2015; Lemos, 2000; Tabner,2010</w:t>
      </w:r>
    </w:p>
  </w:footnote>
  <w:footnote w:id="31">
    <w:p w14:paraId="4866AEDD" w14:textId="77777777" w:rsidR="00492246" w:rsidRDefault="00492246" w:rsidP="004B10FE">
      <w:pPr>
        <w:pStyle w:val="FootnoteText"/>
      </w:pPr>
      <w:r w:rsidRPr="000426D1">
        <w:rPr>
          <w:rStyle w:val="FootnoteReference"/>
          <w:rFonts w:ascii="Arial" w:hAnsi="Arial" w:cs="Arial"/>
          <w:sz w:val="16"/>
          <w:szCs w:val="16"/>
        </w:rPr>
        <w:footnoteRef/>
      </w:r>
      <w:r w:rsidRPr="000426D1">
        <w:rPr>
          <w:rStyle w:val="FootnoteReference"/>
          <w:rFonts w:ascii="Arial" w:hAnsi="Arial" w:cs="Arial"/>
          <w:sz w:val="16"/>
          <w:szCs w:val="16"/>
        </w:rPr>
        <w:t xml:space="preserve"> Ibid.</w:t>
      </w:r>
      <w:r w:rsidRPr="00CF5BD7">
        <w:rPr>
          <w:rFonts w:ascii="Arial" w:hAnsi="Arial" w:cs="Arial"/>
          <w:color w:val="000000"/>
        </w:rPr>
        <w:t xml:space="preserve"> </w:t>
      </w:r>
      <w:r w:rsidRPr="004B19D5">
        <w:rPr>
          <w:rFonts w:ascii="Arial" w:hAnsi="Arial" w:cs="Arial"/>
          <w:color w:val="000000"/>
        </w:rPr>
        <w:t>Johnsen &amp; Watts, 2014; Pinderhughes et al., 2007</w:t>
      </w:r>
    </w:p>
  </w:footnote>
  <w:footnote w:id="32">
    <w:p w14:paraId="264F3DC9" w14:textId="77777777" w:rsidR="00492246" w:rsidRPr="008517BF" w:rsidRDefault="00492246" w:rsidP="004B10FE">
      <w:pPr>
        <w:pStyle w:val="FootnoteText"/>
        <w:rPr>
          <w:rFonts w:ascii="Arial" w:hAnsi="Arial" w:cs="Arial"/>
          <w:sz w:val="16"/>
          <w:szCs w:val="16"/>
        </w:rPr>
      </w:pPr>
      <w:r w:rsidRPr="008517BF">
        <w:rPr>
          <w:rStyle w:val="FootnoteReference"/>
          <w:rFonts w:ascii="Arial" w:hAnsi="Arial" w:cs="Arial"/>
          <w:sz w:val="16"/>
          <w:szCs w:val="16"/>
        </w:rPr>
        <w:footnoteRef/>
      </w:r>
      <w:r w:rsidRPr="008517BF">
        <w:rPr>
          <w:rFonts w:ascii="Arial" w:hAnsi="Arial" w:cs="Arial"/>
          <w:sz w:val="16"/>
          <w:szCs w:val="16"/>
        </w:rPr>
        <w:t xml:space="preserve"> </w:t>
      </w:r>
      <w:r>
        <w:rPr>
          <w:rFonts w:ascii="Arial" w:hAnsi="Arial" w:cs="Arial"/>
          <w:sz w:val="16"/>
          <w:szCs w:val="16"/>
        </w:rPr>
        <w:t xml:space="preserve">Bramley,G,2017, </w:t>
      </w:r>
      <w:r w:rsidRPr="004D5C42">
        <w:rPr>
          <w:rFonts w:ascii="Arial" w:hAnsi="Arial" w:cs="Arial"/>
          <w:i/>
          <w:sz w:val="16"/>
          <w:szCs w:val="16"/>
        </w:rPr>
        <w:t>Homelessness projections: Core homelessness in Great Britain, Summary report</w:t>
      </w:r>
      <w:r>
        <w:rPr>
          <w:rFonts w:ascii="Arial" w:hAnsi="Arial" w:cs="Arial"/>
          <w:sz w:val="16"/>
          <w:szCs w:val="16"/>
        </w:rPr>
        <w:t>, Heriot Watt University</w:t>
      </w:r>
    </w:p>
  </w:footnote>
  <w:footnote w:id="33">
    <w:p w14:paraId="49021844" w14:textId="77777777" w:rsidR="00492246" w:rsidRPr="00B2646E" w:rsidRDefault="00492246" w:rsidP="004B10FE">
      <w:pPr>
        <w:autoSpaceDE w:val="0"/>
        <w:autoSpaceDN w:val="0"/>
        <w:adjustRightInd w:val="0"/>
        <w:rPr>
          <w:rFonts w:ascii="Arial" w:hAnsi="Arial" w:cs="Arial"/>
          <w:color w:val="000000"/>
          <w:sz w:val="16"/>
          <w:szCs w:val="16"/>
        </w:rPr>
      </w:pPr>
      <w:r>
        <w:rPr>
          <w:rStyle w:val="FootnoteReference"/>
        </w:rPr>
        <w:footnoteRef/>
      </w:r>
      <w:r>
        <w:t xml:space="preserve"> </w:t>
      </w:r>
      <w:r w:rsidRPr="00B2646E">
        <w:rPr>
          <w:rFonts w:ascii="Arial" w:hAnsi="Arial" w:cs="Arial"/>
          <w:color w:val="000000"/>
          <w:sz w:val="16"/>
          <w:szCs w:val="16"/>
        </w:rPr>
        <w:t>People are destitute if:</w:t>
      </w:r>
    </w:p>
    <w:p w14:paraId="7069D725"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hAnsi="Arial" w:cs="Arial"/>
          <w:color w:val="000000"/>
          <w:sz w:val="16"/>
          <w:szCs w:val="16"/>
        </w:rPr>
        <w:t>a) They have lacked two or more of these six essentials over the past month, because they cannot afford</w:t>
      </w:r>
    </w:p>
    <w:p w14:paraId="276F9C9B"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hAnsi="Arial" w:cs="Arial"/>
          <w:color w:val="000000"/>
          <w:sz w:val="16"/>
          <w:szCs w:val="16"/>
        </w:rPr>
        <w:t>them:</w:t>
      </w:r>
    </w:p>
    <w:p w14:paraId="7FD7AB04"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eastAsia="SymbolMT" w:hAnsi="Arial" w:cs="Arial"/>
          <w:color w:val="CF0058"/>
          <w:sz w:val="16"/>
          <w:szCs w:val="16"/>
        </w:rPr>
        <w:t xml:space="preserve"> </w:t>
      </w:r>
      <w:r w:rsidRPr="00B2646E">
        <w:rPr>
          <w:rFonts w:ascii="Arial" w:hAnsi="Arial" w:cs="Arial"/>
          <w:color w:val="000000"/>
          <w:sz w:val="16"/>
          <w:szCs w:val="16"/>
        </w:rPr>
        <w:t>shelter (have slept rough for one or more nights)</w:t>
      </w:r>
    </w:p>
    <w:p w14:paraId="0FC8A7F3"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eastAsia="SymbolMT" w:hAnsi="Arial" w:cs="Arial"/>
          <w:color w:val="CF0058"/>
          <w:sz w:val="16"/>
          <w:szCs w:val="16"/>
        </w:rPr>
        <w:t xml:space="preserve"> </w:t>
      </w:r>
      <w:r w:rsidRPr="00B2646E">
        <w:rPr>
          <w:rFonts w:ascii="Arial" w:hAnsi="Arial" w:cs="Arial"/>
          <w:color w:val="000000"/>
          <w:sz w:val="16"/>
          <w:szCs w:val="16"/>
        </w:rPr>
        <w:t>food (have had fewer than two meals a day for two or more days)</w:t>
      </w:r>
    </w:p>
    <w:p w14:paraId="1FDFD38C"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eastAsia="SymbolMT" w:hAnsi="Arial" w:cs="Arial"/>
          <w:color w:val="CF0058"/>
          <w:sz w:val="16"/>
          <w:szCs w:val="16"/>
        </w:rPr>
        <w:t xml:space="preserve"> </w:t>
      </w:r>
      <w:r w:rsidRPr="00B2646E">
        <w:rPr>
          <w:rFonts w:ascii="Arial" w:hAnsi="Arial" w:cs="Arial"/>
          <w:color w:val="000000"/>
          <w:sz w:val="16"/>
          <w:szCs w:val="16"/>
        </w:rPr>
        <w:t>heating their home (have been unable to do this for five or more days)</w:t>
      </w:r>
    </w:p>
    <w:p w14:paraId="68C35329"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eastAsia="SymbolMT" w:hAnsi="Arial" w:cs="Arial"/>
          <w:color w:val="CF0058"/>
          <w:sz w:val="16"/>
          <w:szCs w:val="16"/>
        </w:rPr>
        <w:t xml:space="preserve"> </w:t>
      </w:r>
      <w:r w:rsidRPr="00B2646E">
        <w:rPr>
          <w:rFonts w:ascii="Arial" w:hAnsi="Arial" w:cs="Arial"/>
          <w:color w:val="000000"/>
          <w:sz w:val="16"/>
          <w:szCs w:val="16"/>
        </w:rPr>
        <w:t>lighting their home (have been unable to do this for five or more days)</w:t>
      </w:r>
    </w:p>
    <w:p w14:paraId="285A39AB" w14:textId="77777777" w:rsidR="00492246" w:rsidRPr="00B2646E" w:rsidRDefault="00492246" w:rsidP="004B10FE">
      <w:pPr>
        <w:autoSpaceDE w:val="0"/>
        <w:autoSpaceDN w:val="0"/>
        <w:adjustRightInd w:val="0"/>
        <w:rPr>
          <w:rFonts w:ascii="Arial" w:hAnsi="Arial" w:cs="Arial"/>
          <w:color w:val="000000"/>
          <w:sz w:val="16"/>
          <w:szCs w:val="16"/>
        </w:rPr>
      </w:pPr>
      <w:r w:rsidRPr="00B2646E">
        <w:rPr>
          <w:rFonts w:ascii="Arial" w:eastAsia="SymbolMT" w:hAnsi="Arial" w:cs="Arial"/>
          <w:color w:val="CF0058"/>
          <w:sz w:val="16"/>
          <w:szCs w:val="16"/>
        </w:rPr>
        <w:t xml:space="preserve"> </w:t>
      </w:r>
      <w:r w:rsidRPr="00B2646E">
        <w:rPr>
          <w:rFonts w:ascii="Arial" w:hAnsi="Arial" w:cs="Arial"/>
          <w:color w:val="000000"/>
          <w:sz w:val="16"/>
          <w:szCs w:val="16"/>
        </w:rPr>
        <w:t>clothing and footwear (appropriate for weather)</w:t>
      </w:r>
    </w:p>
    <w:p w14:paraId="28630C92" w14:textId="77777777" w:rsidR="00492246" w:rsidRDefault="00492246" w:rsidP="004B10FE">
      <w:pPr>
        <w:pStyle w:val="FootnoteText"/>
      </w:pPr>
      <w:r w:rsidRPr="00B2646E">
        <w:rPr>
          <w:rFonts w:ascii="Arial" w:eastAsia="SymbolMT" w:hAnsi="Arial" w:cs="Arial"/>
          <w:color w:val="CF0058"/>
          <w:sz w:val="16"/>
          <w:szCs w:val="16"/>
        </w:rPr>
        <w:t xml:space="preserve"> </w:t>
      </w:r>
      <w:r w:rsidRPr="00B2646E">
        <w:rPr>
          <w:rFonts w:ascii="Arial" w:hAnsi="Arial" w:cs="Arial"/>
          <w:color w:val="000000"/>
          <w:sz w:val="16"/>
          <w:szCs w:val="16"/>
        </w:rPr>
        <w:t>Basic toiletries (soap, shampoo, toothpaste, toothbrush).</w:t>
      </w:r>
    </w:p>
  </w:footnote>
  <w:footnote w:id="34">
    <w:p w14:paraId="7AE60065" w14:textId="77777777" w:rsidR="00492246" w:rsidRPr="00FA5A63" w:rsidRDefault="00492246" w:rsidP="004B10FE">
      <w:pPr>
        <w:pStyle w:val="FootnoteText"/>
        <w:rPr>
          <w:rFonts w:ascii="Arial" w:hAnsi="Arial" w:cs="Arial"/>
          <w:sz w:val="16"/>
          <w:szCs w:val="16"/>
        </w:rPr>
      </w:pPr>
      <w:r w:rsidRPr="00FA5A63">
        <w:rPr>
          <w:rStyle w:val="FootnoteReference"/>
          <w:rFonts w:ascii="Arial" w:hAnsi="Arial" w:cs="Arial"/>
          <w:sz w:val="16"/>
          <w:szCs w:val="16"/>
        </w:rPr>
        <w:footnoteRef/>
      </w:r>
      <w:r w:rsidRPr="00FA5A63">
        <w:rPr>
          <w:rFonts w:ascii="Arial" w:hAnsi="Arial" w:cs="Arial"/>
          <w:sz w:val="16"/>
          <w:szCs w:val="16"/>
        </w:rPr>
        <w:t xml:space="preserve"> Fitzpatrick, S &amp; Bramley, G et al, </w:t>
      </w:r>
      <w:r w:rsidRPr="00FA5A63">
        <w:rPr>
          <w:rFonts w:ascii="Arial" w:hAnsi="Arial" w:cs="Arial"/>
          <w:i/>
          <w:sz w:val="16"/>
          <w:szCs w:val="16"/>
        </w:rPr>
        <w:t>Destitution in the UK 2018</w:t>
      </w:r>
      <w:r>
        <w:rPr>
          <w:rFonts w:ascii="Arial" w:hAnsi="Arial" w:cs="Arial"/>
          <w:sz w:val="16"/>
          <w:szCs w:val="16"/>
        </w:rPr>
        <w:t>, JRF, 2018.</w:t>
      </w:r>
    </w:p>
  </w:footnote>
  <w:footnote w:id="35">
    <w:p w14:paraId="64AA2E35" w14:textId="77777777" w:rsidR="00492246" w:rsidRPr="00660AA1" w:rsidRDefault="00492246" w:rsidP="004B10FE">
      <w:pPr>
        <w:pStyle w:val="FootnoteText"/>
        <w:rPr>
          <w:rFonts w:ascii="Arial" w:hAnsi="Arial" w:cs="Arial"/>
          <w:sz w:val="16"/>
          <w:szCs w:val="16"/>
        </w:rPr>
      </w:pPr>
      <w:r w:rsidRPr="00660AA1">
        <w:rPr>
          <w:rStyle w:val="FootnoteReference"/>
          <w:rFonts w:ascii="Arial" w:hAnsi="Arial" w:cs="Arial"/>
          <w:sz w:val="16"/>
          <w:szCs w:val="16"/>
        </w:rPr>
        <w:footnoteRef/>
      </w:r>
      <w:r w:rsidRPr="00660AA1">
        <w:rPr>
          <w:rFonts w:ascii="Arial" w:hAnsi="Arial" w:cs="Arial"/>
          <w:sz w:val="16"/>
          <w:szCs w:val="16"/>
        </w:rPr>
        <w:t xml:space="preserve"> Norwich Economic Strategy 2019-2024</w:t>
      </w:r>
    </w:p>
  </w:footnote>
  <w:footnote w:id="36">
    <w:p w14:paraId="6FBB897B" w14:textId="77777777" w:rsidR="00492246" w:rsidRDefault="00492246" w:rsidP="004B10FE">
      <w:pPr>
        <w:pStyle w:val="FootnoteText"/>
      </w:pPr>
      <w:r w:rsidRPr="00660AA1">
        <w:rPr>
          <w:rStyle w:val="FootnoteReference"/>
          <w:rFonts w:ascii="Arial" w:hAnsi="Arial" w:cs="Arial"/>
          <w:sz w:val="16"/>
          <w:szCs w:val="16"/>
        </w:rPr>
        <w:footnoteRef/>
      </w:r>
      <w:r w:rsidRPr="00660AA1">
        <w:rPr>
          <w:rFonts w:ascii="Arial" w:hAnsi="Arial" w:cs="Arial"/>
          <w:sz w:val="16"/>
          <w:szCs w:val="16"/>
        </w:rPr>
        <w:t xml:space="preserve"> </w:t>
      </w:r>
      <w:hyperlink r:id="rId7" w:history="1">
        <w:r w:rsidRPr="00660AA1">
          <w:rPr>
            <w:rStyle w:val="Hyperlink"/>
            <w:rFonts w:ascii="Arial" w:hAnsi="Arial" w:cs="Arial"/>
            <w:sz w:val="16"/>
            <w:szCs w:val="16"/>
          </w:rPr>
          <w:t>https://www.gnlp.org.uk/assets/Uploads/Reg-18-Final-Strategy-Document-0702.pdf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E0618" w14:textId="77777777" w:rsidR="00492246" w:rsidRPr="001730EC" w:rsidRDefault="00492246" w:rsidP="00616716">
    <w:pPr>
      <w:pStyle w:val="Header"/>
      <w:jc w:val="center"/>
      <w:rPr>
        <w:rFonts w:ascii="Arial" w:hAnsi="Arial" w:cs="Arial"/>
      </w:rPr>
    </w:pPr>
    <w:r w:rsidRPr="001730EC">
      <w:rPr>
        <w:rFonts w:ascii="Arial" w:hAnsi="Arial" w:cs="Arial"/>
      </w:rPr>
      <w:t>Greater Norwich Homelessness Strat</w:t>
    </w:r>
    <w:r>
      <w:rPr>
        <w:rFonts w:ascii="Arial" w:hAnsi="Arial" w:cs="Arial"/>
      </w:rPr>
      <w:t xml:space="preserve">egy 2020-2025 </w:t>
    </w:r>
  </w:p>
  <w:p w14:paraId="0B4CB5FE" w14:textId="77777777" w:rsidR="00492246" w:rsidRDefault="00492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1DE"/>
    <w:multiLevelType w:val="multilevel"/>
    <w:tmpl w:val="AE90581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E72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150D8"/>
    <w:multiLevelType w:val="hybridMultilevel"/>
    <w:tmpl w:val="FDEC1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F627B"/>
    <w:multiLevelType w:val="hybridMultilevel"/>
    <w:tmpl w:val="B666E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7C719D6"/>
    <w:multiLevelType w:val="hybridMultilevel"/>
    <w:tmpl w:val="AAA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162514"/>
    <w:multiLevelType w:val="hybridMultilevel"/>
    <w:tmpl w:val="3B4C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E633F"/>
    <w:multiLevelType w:val="hybridMultilevel"/>
    <w:tmpl w:val="5E543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C1022"/>
    <w:multiLevelType w:val="hybridMultilevel"/>
    <w:tmpl w:val="27B48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46B2A"/>
    <w:multiLevelType w:val="hybridMultilevel"/>
    <w:tmpl w:val="D26A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5346A"/>
    <w:multiLevelType w:val="hybridMultilevel"/>
    <w:tmpl w:val="EDF6B6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AC4EFB"/>
    <w:multiLevelType w:val="hybridMultilevel"/>
    <w:tmpl w:val="08D4F496"/>
    <w:lvl w:ilvl="0" w:tplc="0330A2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0E174A"/>
    <w:multiLevelType w:val="hybridMultilevel"/>
    <w:tmpl w:val="6318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94C2C"/>
    <w:multiLevelType w:val="hybridMultilevel"/>
    <w:tmpl w:val="E982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9131EF"/>
    <w:multiLevelType w:val="hybridMultilevel"/>
    <w:tmpl w:val="BF8863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353303"/>
    <w:multiLevelType w:val="hybridMultilevel"/>
    <w:tmpl w:val="4C2C89D2"/>
    <w:lvl w:ilvl="0" w:tplc="AB80E19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52DD4"/>
    <w:multiLevelType w:val="hybridMultilevel"/>
    <w:tmpl w:val="24E4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56A75"/>
    <w:multiLevelType w:val="hybridMultilevel"/>
    <w:tmpl w:val="A8EA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54E7A"/>
    <w:multiLevelType w:val="hybridMultilevel"/>
    <w:tmpl w:val="DAD0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A66AA"/>
    <w:multiLevelType w:val="hybridMultilevel"/>
    <w:tmpl w:val="9634B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12F7C"/>
    <w:multiLevelType w:val="multilevel"/>
    <w:tmpl w:val="A9A0E5FE"/>
    <w:lvl w:ilvl="0">
      <w:start w:val="6"/>
      <w:numFmt w:val="decimal"/>
      <w:lvlText w:val="%1"/>
      <w:lvlJc w:val="left"/>
      <w:pPr>
        <w:ind w:left="465" w:hanging="465"/>
      </w:pPr>
      <w:rPr>
        <w:rFonts w:hint="default"/>
      </w:rPr>
    </w:lvl>
    <w:lvl w:ilvl="1">
      <w:start w:val="3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FA6E1E"/>
    <w:multiLevelType w:val="hybridMultilevel"/>
    <w:tmpl w:val="8DB0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785EA4"/>
    <w:multiLevelType w:val="multilevel"/>
    <w:tmpl w:val="C1EABD94"/>
    <w:lvl w:ilvl="0">
      <w:start w:val="1"/>
      <w:numFmt w:val="decimal"/>
      <w:lvlText w:val="%1."/>
      <w:lvlJc w:val="left"/>
      <w:pPr>
        <w:ind w:left="720" w:hanging="360"/>
      </w:pPr>
    </w:lvl>
    <w:lvl w:ilvl="1">
      <w:start w:val="1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98605EA"/>
    <w:multiLevelType w:val="hybridMultilevel"/>
    <w:tmpl w:val="1B9C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2775C"/>
    <w:multiLevelType w:val="hybridMultilevel"/>
    <w:tmpl w:val="B92E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E80052"/>
    <w:multiLevelType w:val="hybridMultilevel"/>
    <w:tmpl w:val="B2829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6263C"/>
    <w:multiLevelType w:val="hybridMultilevel"/>
    <w:tmpl w:val="0ED68E44"/>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F5D6624"/>
    <w:multiLevelType w:val="multilevel"/>
    <w:tmpl w:val="9050DDDE"/>
    <w:lvl w:ilvl="0">
      <w:start w:val="3"/>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8E6B8E"/>
    <w:multiLevelType w:val="multilevel"/>
    <w:tmpl w:val="C450E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BF6618"/>
    <w:multiLevelType w:val="multilevel"/>
    <w:tmpl w:val="F914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20725"/>
    <w:multiLevelType w:val="hybridMultilevel"/>
    <w:tmpl w:val="797E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934421"/>
    <w:multiLevelType w:val="hybridMultilevel"/>
    <w:tmpl w:val="B666E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6AA91AC1"/>
    <w:multiLevelType w:val="multilevel"/>
    <w:tmpl w:val="12A6B400"/>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C5678D4"/>
    <w:multiLevelType w:val="multilevel"/>
    <w:tmpl w:val="C512B798"/>
    <w:lvl w:ilvl="0">
      <w:start w:val="1"/>
      <w:numFmt w:val="decimal"/>
      <w:lvlText w:val="%1."/>
      <w:lvlJc w:val="left"/>
      <w:pPr>
        <w:ind w:left="4320" w:hanging="360"/>
      </w:pPr>
      <w:rPr>
        <w:rFonts w:hint="default"/>
      </w:rPr>
    </w:lvl>
    <w:lvl w:ilvl="1">
      <w:start w:val="1"/>
      <w:numFmt w:val="decimal"/>
      <w:isLgl/>
      <w:lvlText w:val="%1.%2"/>
      <w:lvlJc w:val="left"/>
      <w:pPr>
        <w:ind w:left="4725" w:hanging="405"/>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7560" w:hanging="1440"/>
      </w:pPr>
      <w:rPr>
        <w:rFonts w:hint="default"/>
      </w:rPr>
    </w:lvl>
    <w:lvl w:ilvl="7">
      <w:start w:val="1"/>
      <w:numFmt w:val="decimal"/>
      <w:isLgl/>
      <w:lvlText w:val="%1.%2.%3.%4.%5.%6.%7.%8"/>
      <w:lvlJc w:val="left"/>
      <w:pPr>
        <w:ind w:left="8280" w:hanging="1800"/>
      </w:pPr>
      <w:rPr>
        <w:rFonts w:hint="default"/>
      </w:rPr>
    </w:lvl>
    <w:lvl w:ilvl="8">
      <w:start w:val="1"/>
      <w:numFmt w:val="decimal"/>
      <w:isLgl/>
      <w:lvlText w:val="%1.%2.%3.%4.%5.%6.%7.%8.%9"/>
      <w:lvlJc w:val="left"/>
      <w:pPr>
        <w:ind w:left="8640" w:hanging="1800"/>
      </w:pPr>
      <w:rPr>
        <w:rFonts w:hint="default"/>
      </w:rPr>
    </w:lvl>
  </w:abstractNum>
  <w:abstractNum w:abstractNumId="33" w15:restartNumberingAfterBreak="0">
    <w:nsid w:val="711E4CFF"/>
    <w:multiLevelType w:val="multilevel"/>
    <w:tmpl w:val="4DD2E8FA"/>
    <w:lvl w:ilvl="0">
      <w:start w:val="1"/>
      <w:numFmt w:val="decimal"/>
      <w:lvlText w:val="%1."/>
      <w:lvlJc w:val="left"/>
      <w:pPr>
        <w:ind w:left="720" w:hanging="360"/>
      </w:pPr>
      <w:rPr>
        <w:rFonts w:hint="default"/>
      </w:rPr>
    </w:lvl>
    <w:lvl w:ilvl="1">
      <w:start w:val="12"/>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41944B8"/>
    <w:multiLevelType w:val="hybridMultilevel"/>
    <w:tmpl w:val="387A2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A81238"/>
    <w:multiLevelType w:val="hybridMultilevel"/>
    <w:tmpl w:val="302A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AE4E4F"/>
    <w:multiLevelType w:val="multilevel"/>
    <w:tmpl w:val="F25C42C2"/>
    <w:lvl w:ilvl="0">
      <w:start w:val="6"/>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8"/>
  </w:num>
  <w:num w:numId="3">
    <w:abstractNumId w:val="35"/>
  </w:num>
  <w:num w:numId="4">
    <w:abstractNumId w:val="23"/>
  </w:num>
  <w:num w:numId="5">
    <w:abstractNumId w:val="13"/>
  </w:num>
  <w:num w:numId="6">
    <w:abstractNumId w:val="25"/>
  </w:num>
  <w:num w:numId="7">
    <w:abstractNumId w:val="3"/>
  </w:num>
  <w:num w:numId="8">
    <w:abstractNumId w:val="18"/>
  </w:num>
  <w:num w:numId="9">
    <w:abstractNumId w:val="28"/>
  </w:num>
  <w:num w:numId="10">
    <w:abstractNumId w:val="4"/>
  </w:num>
  <w:num w:numId="11">
    <w:abstractNumId w:val="6"/>
  </w:num>
  <w:num w:numId="12">
    <w:abstractNumId w:val="16"/>
  </w:num>
  <w:num w:numId="13">
    <w:abstractNumId w:val="1"/>
  </w:num>
  <w:num w:numId="14">
    <w:abstractNumId w:val="30"/>
  </w:num>
  <w:num w:numId="15">
    <w:abstractNumId w:val="11"/>
  </w:num>
  <w:num w:numId="16">
    <w:abstractNumId w:val="24"/>
  </w:num>
  <w:num w:numId="17">
    <w:abstractNumId w:val="22"/>
  </w:num>
  <w:num w:numId="18">
    <w:abstractNumId w:val="31"/>
  </w:num>
  <w:num w:numId="19">
    <w:abstractNumId w:val="26"/>
  </w:num>
  <w:num w:numId="20">
    <w:abstractNumId w:val="36"/>
  </w:num>
  <w:num w:numId="21">
    <w:abstractNumId w:val="19"/>
  </w:num>
  <w:num w:numId="22">
    <w:abstractNumId w:val="27"/>
  </w:num>
  <w:num w:numId="23">
    <w:abstractNumId w:val="12"/>
  </w:num>
  <w:num w:numId="24">
    <w:abstractNumId w:val="5"/>
  </w:num>
  <w:num w:numId="25">
    <w:abstractNumId w:val="2"/>
  </w:num>
  <w:num w:numId="26">
    <w:abstractNumId w:val="17"/>
  </w:num>
  <w:num w:numId="27">
    <w:abstractNumId w:val="20"/>
  </w:num>
  <w:num w:numId="28">
    <w:abstractNumId w:val="29"/>
  </w:num>
  <w:num w:numId="29">
    <w:abstractNumId w:val="0"/>
  </w:num>
  <w:num w:numId="30">
    <w:abstractNumId w:val="33"/>
  </w:num>
  <w:num w:numId="31">
    <w:abstractNumId w:val="14"/>
  </w:num>
  <w:num w:numId="32">
    <w:abstractNumId w:val="15"/>
  </w:num>
  <w:num w:numId="33">
    <w:abstractNumId w:val="7"/>
  </w:num>
  <w:num w:numId="34">
    <w:abstractNumId w:val="10"/>
  </w:num>
  <w:num w:numId="35">
    <w:abstractNumId w:val="9"/>
  </w:num>
  <w:num w:numId="36">
    <w:abstractNumId w:val="34"/>
  </w:num>
  <w:num w:numId="37">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Tl3wWGpKnU2ezk4aJ9MTdjnof0+9gT/3ZDhYMJGqhvEpZg9u5XgHo45KYX3QHyOxkMRljQrSd9GPqKr98Kdyzg==" w:salt="hE0VaWFSuZk9pkk7QJhxTQ=="/>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4E"/>
    <w:rsid w:val="000013DA"/>
    <w:rsid w:val="000042B0"/>
    <w:rsid w:val="00005C8C"/>
    <w:rsid w:val="00006A3B"/>
    <w:rsid w:val="00006CBE"/>
    <w:rsid w:val="00007A21"/>
    <w:rsid w:val="0001122D"/>
    <w:rsid w:val="00011A97"/>
    <w:rsid w:val="000145ED"/>
    <w:rsid w:val="00016A96"/>
    <w:rsid w:val="00022F0C"/>
    <w:rsid w:val="000244FE"/>
    <w:rsid w:val="00025A3D"/>
    <w:rsid w:val="00026896"/>
    <w:rsid w:val="00026E71"/>
    <w:rsid w:val="00030469"/>
    <w:rsid w:val="00036CDC"/>
    <w:rsid w:val="00041C2E"/>
    <w:rsid w:val="00042516"/>
    <w:rsid w:val="000426D1"/>
    <w:rsid w:val="0004710D"/>
    <w:rsid w:val="000618E7"/>
    <w:rsid w:val="000618EA"/>
    <w:rsid w:val="000666BA"/>
    <w:rsid w:val="00071ECB"/>
    <w:rsid w:val="00080030"/>
    <w:rsid w:val="00081087"/>
    <w:rsid w:val="00085A47"/>
    <w:rsid w:val="00090296"/>
    <w:rsid w:val="00094174"/>
    <w:rsid w:val="00094394"/>
    <w:rsid w:val="000971D2"/>
    <w:rsid w:val="000A071C"/>
    <w:rsid w:val="000A340D"/>
    <w:rsid w:val="000A52ED"/>
    <w:rsid w:val="000B58ED"/>
    <w:rsid w:val="000C04A0"/>
    <w:rsid w:val="000C2008"/>
    <w:rsid w:val="000C3687"/>
    <w:rsid w:val="000C7C2C"/>
    <w:rsid w:val="000D3EEA"/>
    <w:rsid w:val="000D433D"/>
    <w:rsid w:val="000D516A"/>
    <w:rsid w:val="000D5645"/>
    <w:rsid w:val="000F0957"/>
    <w:rsid w:val="000F11C7"/>
    <w:rsid w:val="000F1517"/>
    <w:rsid w:val="0010045B"/>
    <w:rsid w:val="00100BAD"/>
    <w:rsid w:val="00106DAE"/>
    <w:rsid w:val="0010759D"/>
    <w:rsid w:val="00113614"/>
    <w:rsid w:val="00115173"/>
    <w:rsid w:val="0011663B"/>
    <w:rsid w:val="00121384"/>
    <w:rsid w:val="00121512"/>
    <w:rsid w:val="001218AE"/>
    <w:rsid w:val="00121921"/>
    <w:rsid w:val="0012206F"/>
    <w:rsid w:val="00123029"/>
    <w:rsid w:val="00132B51"/>
    <w:rsid w:val="001346FE"/>
    <w:rsid w:val="00135BA7"/>
    <w:rsid w:val="00136901"/>
    <w:rsid w:val="00142E57"/>
    <w:rsid w:val="00151061"/>
    <w:rsid w:val="00151249"/>
    <w:rsid w:val="0015133B"/>
    <w:rsid w:val="00153C39"/>
    <w:rsid w:val="00154A98"/>
    <w:rsid w:val="00154DA1"/>
    <w:rsid w:val="00161ED7"/>
    <w:rsid w:val="001674BF"/>
    <w:rsid w:val="0017021A"/>
    <w:rsid w:val="00171CD6"/>
    <w:rsid w:val="00172464"/>
    <w:rsid w:val="001730EC"/>
    <w:rsid w:val="00173340"/>
    <w:rsid w:val="001765F5"/>
    <w:rsid w:val="0017700A"/>
    <w:rsid w:val="00182618"/>
    <w:rsid w:val="00182913"/>
    <w:rsid w:val="001842F0"/>
    <w:rsid w:val="0019413C"/>
    <w:rsid w:val="0019449D"/>
    <w:rsid w:val="001945C3"/>
    <w:rsid w:val="001A3649"/>
    <w:rsid w:val="001A3705"/>
    <w:rsid w:val="001B3647"/>
    <w:rsid w:val="001B3C21"/>
    <w:rsid w:val="001B5C58"/>
    <w:rsid w:val="001B60A0"/>
    <w:rsid w:val="001C2984"/>
    <w:rsid w:val="001C42BE"/>
    <w:rsid w:val="001D00B6"/>
    <w:rsid w:val="001D038E"/>
    <w:rsid w:val="001D06E7"/>
    <w:rsid w:val="001D2BA7"/>
    <w:rsid w:val="001D3C57"/>
    <w:rsid w:val="001D6B30"/>
    <w:rsid w:val="001E38F7"/>
    <w:rsid w:val="001E66BA"/>
    <w:rsid w:val="001F2521"/>
    <w:rsid w:val="001F3B27"/>
    <w:rsid w:val="001F50C7"/>
    <w:rsid w:val="001F5178"/>
    <w:rsid w:val="001F6431"/>
    <w:rsid w:val="002000E7"/>
    <w:rsid w:val="002016D4"/>
    <w:rsid w:val="002016EA"/>
    <w:rsid w:val="002024B0"/>
    <w:rsid w:val="00202B8F"/>
    <w:rsid w:val="0020393B"/>
    <w:rsid w:val="0020615D"/>
    <w:rsid w:val="00212DF5"/>
    <w:rsid w:val="00213173"/>
    <w:rsid w:val="002132E3"/>
    <w:rsid w:val="0021591D"/>
    <w:rsid w:val="00220BFB"/>
    <w:rsid w:val="0022283C"/>
    <w:rsid w:val="00223016"/>
    <w:rsid w:val="00232EA4"/>
    <w:rsid w:val="00236BC7"/>
    <w:rsid w:val="002374E3"/>
    <w:rsid w:val="00244500"/>
    <w:rsid w:val="0024789C"/>
    <w:rsid w:val="0025137B"/>
    <w:rsid w:val="00251BB7"/>
    <w:rsid w:val="00256B7A"/>
    <w:rsid w:val="00257B26"/>
    <w:rsid w:val="00263346"/>
    <w:rsid w:val="00265488"/>
    <w:rsid w:val="0027336B"/>
    <w:rsid w:val="00276173"/>
    <w:rsid w:val="00283FEE"/>
    <w:rsid w:val="00285F45"/>
    <w:rsid w:val="002954F2"/>
    <w:rsid w:val="002A3629"/>
    <w:rsid w:val="002A3C58"/>
    <w:rsid w:val="002A42DD"/>
    <w:rsid w:val="002A7C91"/>
    <w:rsid w:val="002B2E74"/>
    <w:rsid w:val="002B5EEF"/>
    <w:rsid w:val="002B7588"/>
    <w:rsid w:val="002C2584"/>
    <w:rsid w:val="002C30F6"/>
    <w:rsid w:val="002C6FCF"/>
    <w:rsid w:val="002D054A"/>
    <w:rsid w:val="002D6CB6"/>
    <w:rsid w:val="002E0A57"/>
    <w:rsid w:val="002E31EE"/>
    <w:rsid w:val="002E51FC"/>
    <w:rsid w:val="002E60E0"/>
    <w:rsid w:val="002E64E7"/>
    <w:rsid w:val="002E6CC9"/>
    <w:rsid w:val="002F57E6"/>
    <w:rsid w:val="002F64C9"/>
    <w:rsid w:val="002F7A70"/>
    <w:rsid w:val="002F7EA5"/>
    <w:rsid w:val="00300998"/>
    <w:rsid w:val="003019E7"/>
    <w:rsid w:val="003024A5"/>
    <w:rsid w:val="00303CDC"/>
    <w:rsid w:val="0030477C"/>
    <w:rsid w:val="003054AE"/>
    <w:rsid w:val="00307EB1"/>
    <w:rsid w:val="00314DB1"/>
    <w:rsid w:val="00315019"/>
    <w:rsid w:val="00317698"/>
    <w:rsid w:val="00317841"/>
    <w:rsid w:val="00317EC8"/>
    <w:rsid w:val="00320FB8"/>
    <w:rsid w:val="003218D5"/>
    <w:rsid w:val="00324899"/>
    <w:rsid w:val="00330E7A"/>
    <w:rsid w:val="00332525"/>
    <w:rsid w:val="00334F3C"/>
    <w:rsid w:val="0033622C"/>
    <w:rsid w:val="0033798F"/>
    <w:rsid w:val="00340994"/>
    <w:rsid w:val="00341702"/>
    <w:rsid w:val="00343676"/>
    <w:rsid w:val="00344B05"/>
    <w:rsid w:val="00347F26"/>
    <w:rsid w:val="00352555"/>
    <w:rsid w:val="00354CA0"/>
    <w:rsid w:val="003550E8"/>
    <w:rsid w:val="003562CF"/>
    <w:rsid w:val="00360C9E"/>
    <w:rsid w:val="00361902"/>
    <w:rsid w:val="00363A47"/>
    <w:rsid w:val="0036454E"/>
    <w:rsid w:val="0036484E"/>
    <w:rsid w:val="00372D4D"/>
    <w:rsid w:val="00377088"/>
    <w:rsid w:val="00377E0F"/>
    <w:rsid w:val="00377FD6"/>
    <w:rsid w:val="0038076E"/>
    <w:rsid w:val="00384F8A"/>
    <w:rsid w:val="0039761C"/>
    <w:rsid w:val="003979E0"/>
    <w:rsid w:val="003A0969"/>
    <w:rsid w:val="003A418A"/>
    <w:rsid w:val="003A7DBE"/>
    <w:rsid w:val="003B0B6E"/>
    <w:rsid w:val="003B1848"/>
    <w:rsid w:val="003B1D5E"/>
    <w:rsid w:val="003B3349"/>
    <w:rsid w:val="003B3EFA"/>
    <w:rsid w:val="003B4287"/>
    <w:rsid w:val="003B5201"/>
    <w:rsid w:val="003C0AA3"/>
    <w:rsid w:val="003C730B"/>
    <w:rsid w:val="003D24FA"/>
    <w:rsid w:val="003D39FF"/>
    <w:rsid w:val="003D43C7"/>
    <w:rsid w:val="003E1383"/>
    <w:rsid w:val="003E4F1F"/>
    <w:rsid w:val="003F205B"/>
    <w:rsid w:val="003F7A13"/>
    <w:rsid w:val="0041074A"/>
    <w:rsid w:val="00413628"/>
    <w:rsid w:val="004156E1"/>
    <w:rsid w:val="0041574C"/>
    <w:rsid w:val="00420C69"/>
    <w:rsid w:val="00422486"/>
    <w:rsid w:val="00425924"/>
    <w:rsid w:val="004332FF"/>
    <w:rsid w:val="004343EB"/>
    <w:rsid w:val="004345D7"/>
    <w:rsid w:val="004349E3"/>
    <w:rsid w:val="00435210"/>
    <w:rsid w:val="00435F29"/>
    <w:rsid w:val="00446043"/>
    <w:rsid w:val="004465EC"/>
    <w:rsid w:val="00447213"/>
    <w:rsid w:val="004474BA"/>
    <w:rsid w:val="00452800"/>
    <w:rsid w:val="00454042"/>
    <w:rsid w:val="00454408"/>
    <w:rsid w:val="00454DA1"/>
    <w:rsid w:val="00456C24"/>
    <w:rsid w:val="00457152"/>
    <w:rsid w:val="004659EB"/>
    <w:rsid w:val="00466CC8"/>
    <w:rsid w:val="00485C36"/>
    <w:rsid w:val="004909AB"/>
    <w:rsid w:val="00492246"/>
    <w:rsid w:val="00493DD6"/>
    <w:rsid w:val="00494F5B"/>
    <w:rsid w:val="004A1172"/>
    <w:rsid w:val="004A6F06"/>
    <w:rsid w:val="004B10FE"/>
    <w:rsid w:val="004B19D5"/>
    <w:rsid w:val="004C1DE4"/>
    <w:rsid w:val="004C2EE2"/>
    <w:rsid w:val="004C6697"/>
    <w:rsid w:val="004D0B6E"/>
    <w:rsid w:val="004D1E6A"/>
    <w:rsid w:val="004D1E9A"/>
    <w:rsid w:val="004D26F0"/>
    <w:rsid w:val="004D43BA"/>
    <w:rsid w:val="004D5C42"/>
    <w:rsid w:val="004D60D4"/>
    <w:rsid w:val="004E08F9"/>
    <w:rsid w:val="004E2F17"/>
    <w:rsid w:val="004E307B"/>
    <w:rsid w:val="004E6D0F"/>
    <w:rsid w:val="004F1588"/>
    <w:rsid w:val="004F2B02"/>
    <w:rsid w:val="004F2C63"/>
    <w:rsid w:val="004F39E1"/>
    <w:rsid w:val="004F3C12"/>
    <w:rsid w:val="0050018B"/>
    <w:rsid w:val="00501971"/>
    <w:rsid w:val="00505786"/>
    <w:rsid w:val="00511485"/>
    <w:rsid w:val="005114C2"/>
    <w:rsid w:val="00517802"/>
    <w:rsid w:val="00522EF7"/>
    <w:rsid w:val="0053021B"/>
    <w:rsid w:val="00540B2A"/>
    <w:rsid w:val="005433DA"/>
    <w:rsid w:val="005441A3"/>
    <w:rsid w:val="00545661"/>
    <w:rsid w:val="0055760F"/>
    <w:rsid w:val="005721C4"/>
    <w:rsid w:val="00575BAF"/>
    <w:rsid w:val="00586314"/>
    <w:rsid w:val="00590982"/>
    <w:rsid w:val="0059126B"/>
    <w:rsid w:val="005943F6"/>
    <w:rsid w:val="00597829"/>
    <w:rsid w:val="005A05C0"/>
    <w:rsid w:val="005A1662"/>
    <w:rsid w:val="005A7C32"/>
    <w:rsid w:val="005A7CF0"/>
    <w:rsid w:val="005B0D09"/>
    <w:rsid w:val="005B3462"/>
    <w:rsid w:val="005B4373"/>
    <w:rsid w:val="005B7CC0"/>
    <w:rsid w:val="005C3CF8"/>
    <w:rsid w:val="005C60BE"/>
    <w:rsid w:val="005D2747"/>
    <w:rsid w:val="005D420B"/>
    <w:rsid w:val="005D46DC"/>
    <w:rsid w:val="005E3063"/>
    <w:rsid w:val="005E547A"/>
    <w:rsid w:val="005E5E08"/>
    <w:rsid w:val="005E5FFE"/>
    <w:rsid w:val="005E7A29"/>
    <w:rsid w:val="005F32E5"/>
    <w:rsid w:val="005F4C7B"/>
    <w:rsid w:val="005F4D13"/>
    <w:rsid w:val="005F5F1C"/>
    <w:rsid w:val="005F7952"/>
    <w:rsid w:val="00601069"/>
    <w:rsid w:val="0060234C"/>
    <w:rsid w:val="006025FD"/>
    <w:rsid w:val="00605263"/>
    <w:rsid w:val="0061040D"/>
    <w:rsid w:val="006123F9"/>
    <w:rsid w:val="006157F5"/>
    <w:rsid w:val="00616716"/>
    <w:rsid w:val="0061680B"/>
    <w:rsid w:val="006205DE"/>
    <w:rsid w:val="00621024"/>
    <w:rsid w:val="00621767"/>
    <w:rsid w:val="00623AC1"/>
    <w:rsid w:val="00626EE8"/>
    <w:rsid w:val="00631E5A"/>
    <w:rsid w:val="0063684B"/>
    <w:rsid w:val="00636CEF"/>
    <w:rsid w:val="00640495"/>
    <w:rsid w:val="006409A4"/>
    <w:rsid w:val="0064573A"/>
    <w:rsid w:val="006476FF"/>
    <w:rsid w:val="00650B9D"/>
    <w:rsid w:val="00650F67"/>
    <w:rsid w:val="0065428A"/>
    <w:rsid w:val="0065779C"/>
    <w:rsid w:val="00657FB7"/>
    <w:rsid w:val="00660AA1"/>
    <w:rsid w:val="0066620A"/>
    <w:rsid w:val="00667F3F"/>
    <w:rsid w:val="006721C0"/>
    <w:rsid w:val="00683D17"/>
    <w:rsid w:val="006846D8"/>
    <w:rsid w:val="006900B4"/>
    <w:rsid w:val="006A029B"/>
    <w:rsid w:val="006B3E15"/>
    <w:rsid w:val="006B7729"/>
    <w:rsid w:val="006B7B96"/>
    <w:rsid w:val="006C0F58"/>
    <w:rsid w:val="006C167C"/>
    <w:rsid w:val="006C3BC7"/>
    <w:rsid w:val="006C41B9"/>
    <w:rsid w:val="006E6128"/>
    <w:rsid w:val="006F155D"/>
    <w:rsid w:val="006F3181"/>
    <w:rsid w:val="006F3CAC"/>
    <w:rsid w:val="007001C5"/>
    <w:rsid w:val="00700C37"/>
    <w:rsid w:val="0070172F"/>
    <w:rsid w:val="007066EE"/>
    <w:rsid w:val="00716991"/>
    <w:rsid w:val="007243F3"/>
    <w:rsid w:val="00730EEF"/>
    <w:rsid w:val="0074008B"/>
    <w:rsid w:val="00745A4A"/>
    <w:rsid w:val="00753370"/>
    <w:rsid w:val="00754E04"/>
    <w:rsid w:val="007562C3"/>
    <w:rsid w:val="0076236E"/>
    <w:rsid w:val="00767512"/>
    <w:rsid w:val="00771144"/>
    <w:rsid w:val="00771B85"/>
    <w:rsid w:val="007726E2"/>
    <w:rsid w:val="00773C48"/>
    <w:rsid w:val="007778F4"/>
    <w:rsid w:val="00780C43"/>
    <w:rsid w:val="007816EC"/>
    <w:rsid w:val="007848BB"/>
    <w:rsid w:val="00786DB8"/>
    <w:rsid w:val="0079039F"/>
    <w:rsid w:val="00793A2A"/>
    <w:rsid w:val="00795650"/>
    <w:rsid w:val="007A26B7"/>
    <w:rsid w:val="007A2718"/>
    <w:rsid w:val="007A336A"/>
    <w:rsid w:val="007B773C"/>
    <w:rsid w:val="007C1C2E"/>
    <w:rsid w:val="007C4228"/>
    <w:rsid w:val="007C6DF4"/>
    <w:rsid w:val="007C7840"/>
    <w:rsid w:val="007D00B9"/>
    <w:rsid w:val="007D02FC"/>
    <w:rsid w:val="007D7BDA"/>
    <w:rsid w:val="007E69A3"/>
    <w:rsid w:val="007F05E3"/>
    <w:rsid w:val="007F3B7C"/>
    <w:rsid w:val="007F43F9"/>
    <w:rsid w:val="007F7398"/>
    <w:rsid w:val="00801E8F"/>
    <w:rsid w:val="008030A4"/>
    <w:rsid w:val="00812022"/>
    <w:rsid w:val="00812058"/>
    <w:rsid w:val="00813095"/>
    <w:rsid w:val="00814A90"/>
    <w:rsid w:val="00827E03"/>
    <w:rsid w:val="008301E9"/>
    <w:rsid w:val="00834747"/>
    <w:rsid w:val="008364E1"/>
    <w:rsid w:val="00836BE7"/>
    <w:rsid w:val="008422DE"/>
    <w:rsid w:val="0084479C"/>
    <w:rsid w:val="008453B2"/>
    <w:rsid w:val="008479CD"/>
    <w:rsid w:val="008517BF"/>
    <w:rsid w:val="00854F1D"/>
    <w:rsid w:val="008632D5"/>
    <w:rsid w:val="0086486A"/>
    <w:rsid w:val="008667AC"/>
    <w:rsid w:val="0086746B"/>
    <w:rsid w:val="008705EE"/>
    <w:rsid w:val="00873F6D"/>
    <w:rsid w:val="00874153"/>
    <w:rsid w:val="0087693D"/>
    <w:rsid w:val="00880F70"/>
    <w:rsid w:val="00881FA2"/>
    <w:rsid w:val="00882860"/>
    <w:rsid w:val="00883256"/>
    <w:rsid w:val="00883910"/>
    <w:rsid w:val="0088735D"/>
    <w:rsid w:val="008913D2"/>
    <w:rsid w:val="00897651"/>
    <w:rsid w:val="008A0911"/>
    <w:rsid w:val="008A1412"/>
    <w:rsid w:val="008A1B0A"/>
    <w:rsid w:val="008A1EE1"/>
    <w:rsid w:val="008B4713"/>
    <w:rsid w:val="008B5526"/>
    <w:rsid w:val="008B6C9C"/>
    <w:rsid w:val="008C2ABA"/>
    <w:rsid w:val="008C6B9A"/>
    <w:rsid w:val="008E5A87"/>
    <w:rsid w:val="008E66CE"/>
    <w:rsid w:val="008E78E1"/>
    <w:rsid w:val="008F2EF6"/>
    <w:rsid w:val="008F34DE"/>
    <w:rsid w:val="008F6721"/>
    <w:rsid w:val="0090450C"/>
    <w:rsid w:val="009046FD"/>
    <w:rsid w:val="00906FA0"/>
    <w:rsid w:val="009072C5"/>
    <w:rsid w:val="00911910"/>
    <w:rsid w:val="00916AEC"/>
    <w:rsid w:val="00920D6C"/>
    <w:rsid w:val="00923610"/>
    <w:rsid w:val="00933B18"/>
    <w:rsid w:val="00935BDC"/>
    <w:rsid w:val="00936A0A"/>
    <w:rsid w:val="00937DC4"/>
    <w:rsid w:val="00942A51"/>
    <w:rsid w:val="00943AB3"/>
    <w:rsid w:val="00947983"/>
    <w:rsid w:val="00953122"/>
    <w:rsid w:val="0095476D"/>
    <w:rsid w:val="0095587C"/>
    <w:rsid w:val="00957AC2"/>
    <w:rsid w:val="00964E8A"/>
    <w:rsid w:val="00965B0C"/>
    <w:rsid w:val="00966218"/>
    <w:rsid w:val="009665BD"/>
    <w:rsid w:val="009732A2"/>
    <w:rsid w:val="0097479B"/>
    <w:rsid w:val="009757FE"/>
    <w:rsid w:val="00975EEC"/>
    <w:rsid w:val="009776C6"/>
    <w:rsid w:val="0098341D"/>
    <w:rsid w:val="00990991"/>
    <w:rsid w:val="00992241"/>
    <w:rsid w:val="00993381"/>
    <w:rsid w:val="00997FA0"/>
    <w:rsid w:val="009A23B2"/>
    <w:rsid w:val="009A4C77"/>
    <w:rsid w:val="009A61A3"/>
    <w:rsid w:val="009B6333"/>
    <w:rsid w:val="009C1DA8"/>
    <w:rsid w:val="009C606A"/>
    <w:rsid w:val="009C6215"/>
    <w:rsid w:val="009C7162"/>
    <w:rsid w:val="009D083A"/>
    <w:rsid w:val="009D1093"/>
    <w:rsid w:val="009D66D8"/>
    <w:rsid w:val="009D7566"/>
    <w:rsid w:val="009E0896"/>
    <w:rsid w:val="009E2AB1"/>
    <w:rsid w:val="009E6E3A"/>
    <w:rsid w:val="009E73CB"/>
    <w:rsid w:val="009F1263"/>
    <w:rsid w:val="009F24BE"/>
    <w:rsid w:val="009F3848"/>
    <w:rsid w:val="009F39C5"/>
    <w:rsid w:val="009F5FBF"/>
    <w:rsid w:val="00A00245"/>
    <w:rsid w:val="00A00398"/>
    <w:rsid w:val="00A01F99"/>
    <w:rsid w:val="00A0373B"/>
    <w:rsid w:val="00A0581D"/>
    <w:rsid w:val="00A1306A"/>
    <w:rsid w:val="00A14BD7"/>
    <w:rsid w:val="00A1794D"/>
    <w:rsid w:val="00A17981"/>
    <w:rsid w:val="00A2417E"/>
    <w:rsid w:val="00A24FDF"/>
    <w:rsid w:val="00A26693"/>
    <w:rsid w:val="00A31AAB"/>
    <w:rsid w:val="00A45E5E"/>
    <w:rsid w:val="00A46C48"/>
    <w:rsid w:val="00A53D7F"/>
    <w:rsid w:val="00A563FB"/>
    <w:rsid w:val="00A6196A"/>
    <w:rsid w:val="00A61E97"/>
    <w:rsid w:val="00A629CD"/>
    <w:rsid w:val="00A659D1"/>
    <w:rsid w:val="00A65E92"/>
    <w:rsid w:val="00A70409"/>
    <w:rsid w:val="00A71608"/>
    <w:rsid w:val="00A7272E"/>
    <w:rsid w:val="00A735B0"/>
    <w:rsid w:val="00A75044"/>
    <w:rsid w:val="00A77B25"/>
    <w:rsid w:val="00A87384"/>
    <w:rsid w:val="00A92735"/>
    <w:rsid w:val="00AA0021"/>
    <w:rsid w:val="00AA381F"/>
    <w:rsid w:val="00AA4BD6"/>
    <w:rsid w:val="00AA6BC5"/>
    <w:rsid w:val="00AA7846"/>
    <w:rsid w:val="00AB55AD"/>
    <w:rsid w:val="00AB6F64"/>
    <w:rsid w:val="00AB7480"/>
    <w:rsid w:val="00AB7CBF"/>
    <w:rsid w:val="00AC0298"/>
    <w:rsid w:val="00AC7EA3"/>
    <w:rsid w:val="00AD040D"/>
    <w:rsid w:val="00AD07CF"/>
    <w:rsid w:val="00AD5E33"/>
    <w:rsid w:val="00AE0572"/>
    <w:rsid w:val="00AE4903"/>
    <w:rsid w:val="00AE5FF3"/>
    <w:rsid w:val="00AE7885"/>
    <w:rsid w:val="00AF51A2"/>
    <w:rsid w:val="00AF6DF4"/>
    <w:rsid w:val="00AF7929"/>
    <w:rsid w:val="00AF7BDE"/>
    <w:rsid w:val="00B04328"/>
    <w:rsid w:val="00B0647C"/>
    <w:rsid w:val="00B064B2"/>
    <w:rsid w:val="00B12922"/>
    <w:rsid w:val="00B24175"/>
    <w:rsid w:val="00B2646E"/>
    <w:rsid w:val="00B27C1D"/>
    <w:rsid w:val="00B3267F"/>
    <w:rsid w:val="00B32719"/>
    <w:rsid w:val="00B33AFD"/>
    <w:rsid w:val="00B406DA"/>
    <w:rsid w:val="00B45E49"/>
    <w:rsid w:val="00B47DB8"/>
    <w:rsid w:val="00B549CD"/>
    <w:rsid w:val="00B55996"/>
    <w:rsid w:val="00B57C7D"/>
    <w:rsid w:val="00B6005A"/>
    <w:rsid w:val="00B6279D"/>
    <w:rsid w:val="00B6715A"/>
    <w:rsid w:val="00B7194B"/>
    <w:rsid w:val="00B71B13"/>
    <w:rsid w:val="00B73D15"/>
    <w:rsid w:val="00B75B2B"/>
    <w:rsid w:val="00B75EEE"/>
    <w:rsid w:val="00B77CBC"/>
    <w:rsid w:val="00B8011A"/>
    <w:rsid w:val="00B82979"/>
    <w:rsid w:val="00B8622D"/>
    <w:rsid w:val="00B87557"/>
    <w:rsid w:val="00B87BD0"/>
    <w:rsid w:val="00B913E2"/>
    <w:rsid w:val="00B94B09"/>
    <w:rsid w:val="00BA0EAB"/>
    <w:rsid w:val="00BA3E69"/>
    <w:rsid w:val="00BA40A9"/>
    <w:rsid w:val="00BA4363"/>
    <w:rsid w:val="00BA6F03"/>
    <w:rsid w:val="00BA74B6"/>
    <w:rsid w:val="00BB4E29"/>
    <w:rsid w:val="00BB626F"/>
    <w:rsid w:val="00BB6415"/>
    <w:rsid w:val="00BB6982"/>
    <w:rsid w:val="00BC0856"/>
    <w:rsid w:val="00BC0C02"/>
    <w:rsid w:val="00BC1490"/>
    <w:rsid w:val="00BC168A"/>
    <w:rsid w:val="00BC1C96"/>
    <w:rsid w:val="00BC3210"/>
    <w:rsid w:val="00BC4907"/>
    <w:rsid w:val="00BC65D1"/>
    <w:rsid w:val="00BD74C6"/>
    <w:rsid w:val="00BE21FF"/>
    <w:rsid w:val="00BE5E59"/>
    <w:rsid w:val="00BF08E0"/>
    <w:rsid w:val="00BF09BF"/>
    <w:rsid w:val="00BF0EF6"/>
    <w:rsid w:val="00BF59D7"/>
    <w:rsid w:val="00BF7ADC"/>
    <w:rsid w:val="00C01279"/>
    <w:rsid w:val="00C02886"/>
    <w:rsid w:val="00C028B7"/>
    <w:rsid w:val="00C04327"/>
    <w:rsid w:val="00C124BF"/>
    <w:rsid w:val="00C1655F"/>
    <w:rsid w:val="00C1688F"/>
    <w:rsid w:val="00C219B9"/>
    <w:rsid w:val="00C30294"/>
    <w:rsid w:val="00C318FA"/>
    <w:rsid w:val="00C3209E"/>
    <w:rsid w:val="00C33A89"/>
    <w:rsid w:val="00C34E54"/>
    <w:rsid w:val="00C43BFA"/>
    <w:rsid w:val="00C55B21"/>
    <w:rsid w:val="00C612AD"/>
    <w:rsid w:val="00C61EC2"/>
    <w:rsid w:val="00C6220D"/>
    <w:rsid w:val="00C637BF"/>
    <w:rsid w:val="00C63EE4"/>
    <w:rsid w:val="00C6461A"/>
    <w:rsid w:val="00C662DD"/>
    <w:rsid w:val="00C66F57"/>
    <w:rsid w:val="00C675F2"/>
    <w:rsid w:val="00C6769B"/>
    <w:rsid w:val="00C7060B"/>
    <w:rsid w:val="00C71E77"/>
    <w:rsid w:val="00C770E9"/>
    <w:rsid w:val="00C823AB"/>
    <w:rsid w:val="00C85265"/>
    <w:rsid w:val="00C85EF3"/>
    <w:rsid w:val="00C869EA"/>
    <w:rsid w:val="00CA3901"/>
    <w:rsid w:val="00CA4218"/>
    <w:rsid w:val="00CA6E7D"/>
    <w:rsid w:val="00CA78B8"/>
    <w:rsid w:val="00CC269F"/>
    <w:rsid w:val="00CD15A5"/>
    <w:rsid w:val="00CD1A9B"/>
    <w:rsid w:val="00CD1FC1"/>
    <w:rsid w:val="00CD5C9F"/>
    <w:rsid w:val="00CE01E5"/>
    <w:rsid w:val="00CE78BC"/>
    <w:rsid w:val="00CE7E42"/>
    <w:rsid w:val="00CE7FFE"/>
    <w:rsid w:val="00CF5BD7"/>
    <w:rsid w:val="00CF660B"/>
    <w:rsid w:val="00D046EF"/>
    <w:rsid w:val="00D05611"/>
    <w:rsid w:val="00D12E43"/>
    <w:rsid w:val="00D13EF4"/>
    <w:rsid w:val="00D21028"/>
    <w:rsid w:val="00D25943"/>
    <w:rsid w:val="00D30039"/>
    <w:rsid w:val="00D31773"/>
    <w:rsid w:val="00D32DEF"/>
    <w:rsid w:val="00D41449"/>
    <w:rsid w:val="00D47C49"/>
    <w:rsid w:val="00D5030B"/>
    <w:rsid w:val="00D50326"/>
    <w:rsid w:val="00D52B28"/>
    <w:rsid w:val="00D5331E"/>
    <w:rsid w:val="00D55C46"/>
    <w:rsid w:val="00D60CDD"/>
    <w:rsid w:val="00D672D4"/>
    <w:rsid w:val="00D6780F"/>
    <w:rsid w:val="00D71C7D"/>
    <w:rsid w:val="00D71E4C"/>
    <w:rsid w:val="00D73339"/>
    <w:rsid w:val="00D75D5F"/>
    <w:rsid w:val="00D805A9"/>
    <w:rsid w:val="00D86A13"/>
    <w:rsid w:val="00D870D8"/>
    <w:rsid w:val="00D87411"/>
    <w:rsid w:val="00D94935"/>
    <w:rsid w:val="00D96B85"/>
    <w:rsid w:val="00D977AD"/>
    <w:rsid w:val="00DA1C8B"/>
    <w:rsid w:val="00DA303B"/>
    <w:rsid w:val="00DA5ABC"/>
    <w:rsid w:val="00DA5CD6"/>
    <w:rsid w:val="00DB011E"/>
    <w:rsid w:val="00DB668F"/>
    <w:rsid w:val="00DB7FB7"/>
    <w:rsid w:val="00DC18C9"/>
    <w:rsid w:val="00DC2272"/>
    <w:rsid w:val="00DD26B6"/>
    <w:rsid w:val="00DD5110"/>
    <w:rsid w:val="00DD6487"/>
    <w:rsid w:val="00DE0617"/>
    <w:rsid w:val="00DF386F"/>
    <w:rsid w:val="00DF698F"/>
    <w:rsid w:val="00E0248B"/>
    <w:rsid w:val="00E03DEF"/>
    <w:rsid w:val="00E054B4"/>
    <w:rsid w:val="00E07351"/>
    <w:rsid w:val="00E07817"/>
    <w:rsid w:val="00E12FE4"/>
    <w:rsid w:val="00E14368"/>
    <w:rsid w:val="00E161CD"/>
    <w:rsid w:val="00E17B10"/>
    <w:rsid w:val="00E220AB"/>
    <w:rsid w:val="00E228D7"/>
    <w:rsid w:val="00E2642B"/>
    <w:rsid w:val="00E27B4D"/>
    <w:rsid w:val="00E31F23"/>
    <w:rsid w:val="00E32F04"/>
    <w:rsid w:val="00E34623"/>
    <w:rsid w:val="00E36145"/>
    <w:rsid w:val="00E45B0B"/>
    <w:rsid w:val="00E45CDE"/>
    <w:rsid w:val="00E50821"/>
    <w:rsid w:val="00E5162D"/>
    <w:rsid w:val="00E530B2"/>
    <w:rsid w:val="00E53AE3"/>
    <w:rsid w:val="00E55438"/>
    <w:rsid w:val="00E57A1A"/>
    <w:rsid w:val="00E63FBB"/>
    <w:rsid w:val="00E65A31"/>
    <w:rsid w:val="00E67C3E"/>
    <w:rsid w:val="00E67ECD"/>
    <w:rsid w:val="00E71304"/>
    <w:rsid w:val="00E74394"/>
    <w:rsid w:val="00E77015"/>
    <w:rsid w:val="00E770F1"/>
    <w:rsid w:val="00E81021"/>
    <w:rsid w:val="00E92577"/>
    <w:rsid w:val="00EA0971"/>
    <w:rsid w:val="00EB1691"/>
    <w:rsid w:val="00EB1E48"/>
    <w:rsid w:val="00EB363B"/>
    <w:rsid w:val="00EB363E"/>
    <w:rsid w:val="00EB5131"/>
    <w:rsid w:val="00EB6AA8"/>
    <w:rsid w:val="00EB75EC"/>
    <w:rsid w:val="00EC0CDF"/>
    <w:rsid w:val="00EC4309"/>
    <w:rsid w:val="00EC58FC"/>
    <w:rsid w:val="00EC5EB8"/>
    <w:rsid w:val="00ED158B"/>
    <w:rsid w:val="00EE01D5"/>
    <w:rsid w:val="00EE77FE"/>
    <w:rsid w:val="00EF110A"/>
    <w:rsid w:val="00EF1293"/>
    <w:rsid w:val="00EF2368"/>
    <w:rsid w:val="00EF4CBC"/>
    <w:rsid w:val="00F00475"/>
    <w:rsid w:val="00F00F8E"/>
    <w:rsid w:val="00F032F7"/>
    <w:rsid w:val="00F04F9D"/>
    <w:rsid w:val="00F06437"/>
    <w:rsid w:val="00F13E1B"/>
    <w:rsid w:val="00F14859"/>
    <w:rsid w:val="00F15AA1"/>
    <w:rsid w:val="00F15D3D"/>
    <w:rsid w:val="00F16CE0"/>
    <w:rsid w:val="00F201B9"/>
    <w:rsid w:val="00F22F07"/>
    <w:rsid w:val="00F231F5"/>
    <w:rsid w:val="00F25260"/>
    <w:rsid w:val="00F276FD"/>
    <w:rsid w:val="00F3014F"/>
    <w:rsid w:val="00F335A8"/>
    <w:rsid w:val="00F34391"/>
    <w:rsid w:val="00F3580F"/>
    <w:rsid w:val="00F3603A"/>
    <w:rsid w:val="00F44565"/>
    <w:rsid w:val="00F46089"/>
    <w:rsid w:val="00F5382E"/>
    <w:rsid w:val="00F54742"/>
    <w:rsid w:val="00F619D1"/>
    <w:rsid w:val="00F62F65"/>
    <w:rsid w:val="00F65493"/>
    <w:rsid w:val="00F65E97"/>
    <w:rsid w:val="00F67906"/>
    <w:rsid w:val="00F7765C"/>
    <w:rsid w:val="00F802CA"/>
    <w:rsid w:val="00F83C4B"/>
    <w:rsid w:val="00F8746D"/>
    <w:rsid w:val="00F916D3"/>
    <w:rsid w:val="00F9527D"/>
    <w:rsid w:val="00F96D2C"/>
    <w:rsid w:val="00FA5A63"/>
    <w:rsid w:val="00FB3BBA"/>
    <w:rsid w:val="00FB4461"/>
    <w:rsid w:val="00FC3DFE"/>
    <w:rsid w:val="00FC5136"/>
    <w:rsid w:val="00FC6A52"/>
    <w:rsid w:val="00FC6D42"/>
    <w:rsid w:val="00FC7FD4"/>
    <w:rsid w:val="00FD6267"/>
    <w:rsid w:val="00FD7BA7"/>
    <w:rsid w:val="00FE68CF"/>
    <w:rsid w:val="00FE6A7C"/>
    <w:rsid w:val="00FE6B84"/>
    <w:rsid w:val="00FE73F7"/>
    <w:rsid w:val="00FF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9E25784"/>
  <w15:docId w15:val="{26AA049F-941E-4A81-AFB5-E4CCC00E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C33A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4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6B84"/>
    <w:pPr>
      <w:tabs>
        <w:tab w:val="center" w:pos="4513"/>
        <w:tab w:val="right" w:pos="9026"/>
      </w:tabs>
    </w:pPr>
  </w:style>
  <w:style w:type="character" w:customStyle="1" w:styleId="HeaderChar">
    <w:name w:val="Header Char"/>
    <w:basedOn w:val="DefaultParagraphFont"/>
    <w:link w:val="Header"/>
    <w:uiPriority w:val="99"/>
    <w:rsid w:val="00FE6B84"/>
    <w:rPr>
      <w:sz w:val="24"/>
      <w:szCs w:val="24"/>
    </w:rPr>
  </w:style>
  <w:style w:type="paragraph" w:styleId="Footer">
    <w:name w:val="footer"/>
    <w:basedOn w:val="Normal"/>
    <w:link w:val="FooterChar"/>
    <w:uiPriority w:val="99"/>
    <w:rsid w:val="00FE6B84"/>
    <w:pPr>
      <w:tabs>
        <w:tab w:val="center" w:pos="4513"/>
        <w:tab w:val="right" w:pos="9026"/>
      </w:tabs>
    </w:pPr>
  </w:style>
  <w:style w:type="character" w:customStyle="1" w:styleId="FooterChar">
    <w:name w:val="Footer Char"/>
    <w:basedOn w:val="DefaultParagraphFont"/>
    <w:link w:val="Footer"/>
    <w:uiPriority w:val="99"/>
    <w:rsid w:val="00FE6B84"/>
    <w:rPr>
      <w:sz w:val="24"/>
      <w:szCs w:val="24"/>
    </w:rPr>
  </w:style>
  <w:style w:type="paragraph" w:styleId="ListParagraph">
    <w:name w:val="List Paragraph"/>
    <w:basedOn w:val="Normal"/>
    <w:uiPriority w:val="34"/>
    <w:qFormat/>
    <w:rsid w:val="00B064B2"/>
    <w:pPr>
      <w:ind w:left="720"/>
      <w:contextualSpacing/>
    </w:pPr>
  </w:style>
  <w:style w:type="paragraph" w:styleId="BalloonText">
    <w:name w:val="Balloon Text"/>
    <w:basedOn w:val="Normal"/>
    <w:link w:val="BalloonTextChar"/>
    <w:rsid w:val="006409A4"/>
    <w:rPr>
      <w:rFonts w:ascii="Tahoma" w:hAnsi="Tahoma" w:cs="Tahoma"/>
      <w:sz w:val="16"/>
      <w:szCs w:val="16"/>
    </w:rPr>
  </w:style>
  <w:style w:type="character" w:customStyle="1" w:styleId="BalloonTextChar">
    <w:name w:val="Balloon Text Char"/>
    <w:basedOn w:val="DefaultParagraphFont"/>
    <w:link w:val="BalloonText"/>
    <w:rsid w:val="006409A4"/>
    <w:rPr>
      <w:rFonts w:ascii="Tahoma" w:hAnsi="Tahoma" w:cs="Tahoma"/>
      <w:sz w:val="16"/>
      <w:szCs w:val="16"/>
    </w:rPr>
  </w:style>
  <w:style w:type="paragraph" w:styleId="FootnoteText">
    <w:name w:val="footnote text"/>
    <w:basedOn w:val="Normal"/>
    <w:link w:val="FootnoteTextChar"/>
    <w:uiPriority w:val="99"/>
    <w:rsid w:val="006409A4"/>
    <w:rPr>
      <w:sz w:val="20"/>
      <w:szCs w:val="20"/>
    </w:rPr>
  </w:style>
  <w:style w:type="character" w:customStyle="1" w:styleId="FootnoteTextChar">
    <w:name w:val="Footnote Text Char"/>
    <w:basedOn w:val="DefaultParagraphFont"/>
    <w:link w:val="FootnoteText"/>
    <w:uiPriority w:val="99"/>
    <w:rsid w:val="006409A4"/>
  </w:style>
  <w:style w:type="character" w:styleId="FootnoteReference">
    <w:name w:val="footnote reference"/>
    <w:basedOn w:val="DefaultParagraphFont"/>
    <w:uiPriority w:val="99"/>
    <w:rsid w:val="006409A4"/>
    <w:rPr>
      <w:vertAlign w:val="superscript"/>
    </w:rPr>
  </w:style>
  <w:style w:type="character" w:styleId="Strong">
    <w:name w:val="Strong"/>
    <w:basedOn w:val="DefaultParagraphFont"/>
    <w:uiPriority w:val="22"/>
    <w:qFormat/>
    <w:rsid w:val="004343EB"/>
    <w:rPr>
      <w:b/>
      <w:bCs/>
    </w:rPr>
  </w:style>
  <w:style w:type="character" w:styleId="Hyperlink">
    <w:name w:val="Hyperlink"/>
    <w:basedOn w:val="DefaultParagraphFont"/>
    <w:uiPriority w:val="99"/>
    <w:unhideWhenUsed/>
    <w:rsid w:val="002E31EE"/>
    <w:rPr>
      <w:color w:val="0000FF" w:themeColor="hyperlink"/>
      <w:u w:val="single"/>
    </w:rPr>
  </w:style>
  <w:style w:type="table" w:customStyle="1" w:styleId="TableGrid1">
    <w:name w:val="Table Grid1"/>
    <w:basedOn w:val="TableNormal"/>
    <w:next w:val="TableGrid"/>
    <w:uiPriority w:val="59"/>
    <w:rsid w:val="002E31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Normal"/>
    <w:next w:val="Normal"/>
    <w:uiPriority w:val="99"/>
    <w:rsid w:val="0020393B"/>
    <w:pPr>
      <w:autoSpaceDE w:val="0"/>
      <w:autoSpaceDN w:val="0"/>
      <w:adjustRightInd w:val="0"/>
      <w:spacing w:line="221" w:lineRule="atLeast"/>
    </w:pPr>
    <w:rPr>
      <w:rFonts w:ascii="Museo Sans 900" w:hAnsi="Museo Sans 900"/>
    </w:rPr>
  </w:style>
  <w:style w:type="paragraph" w:customStyle="1" w:styleId="Default">
    <w:name w:val="Default"/>
    <w:rsid w:val="008F34DE"/>
    <w:pPr>
      <w:autoSpaceDE w:val="0"/>
      <w:autoSpaceDN w:val="0"/>
      <w:adjustRightInd w:val="0"/>
    </w:pPr>
    <w:rPr>
      <w:rFonts w:ascii="Museo Sans 300" w:hAnsi="Museo Sans 300" w:cs="Museo Sans 300"/>
      <w:color w:val="000000"/>
      <w:sz w:val="24"/>
      <w:szCs w:val="24"/>
    </w:rPr>
  </w:style>
  <w:style w:type="table" w:customStyle="1" w:styleId="TableGrid11">
    <w:name w:val="Table Grid11"/>
    <w:basedOn w:val="TableNormal"/>
    <w:next w:val="TableGrid"/>
    <w:uiPriority w:val="59"/>
    <w:rsid w:val="00340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35A8"/>
    <w:pPr>
      <w:spacing w:before="100" w:beforeAutospacing="1" w:after="100" w:afterAutospacing="1"/>
    </w:pPr>
  </w:style>
  <w:style w:type="character" w:customStyle="1" w:styleId="Heading1Char">
    <w:name w:val="Heading 1 Char"/>
    <w:basedOn w:val="DefaultParagraphFont"/>
    <w:link w:val="Heading1"/>
    <w:rsid w:val="00C33A8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C33A89"/>
    <w:pPr>
      <w:spacing w:line="259" w:lineRule="auto"/>
      <w:outlineLvl w:val="9"/>
    </w:pPr>
    <w:rPr>
      <w:lang w:val="en-US" w:eastAsia="en-US"/>
    </w:rPr>
  </w:style>
  <w:style w:type="paragraph" w:styleId="Subtitle">
    <w:name w:val="Subtitle"/>
    <w:basedOn w:val="Normal"/>
    <w:next w:val="Normal"/>
    <w:link w:val="SubtitleChar"/>
    <w:qFormat/>
    <w:rsid w:val="00B549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49CD"/>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B549CD"/>
    <w:rPr>
      <w:i/>
      <w:iCs/>
      <w:color w:val="404040" w:themeColor="text1" w:themeTint="BF"/>
    </w:rPr>
  </w:style>
  <w:style w:type="paragraph" w:customStyle="1" w:styleId="GNHS2">
    <w:name w:val="GNHS 2"/>
    <w:basedOn w:val="Subtitle"/>
    <w:link w:val="GNHS2Char"/>
    <w:qFormat/>
    <w:rsid w:val="005A7CF0"/>
    <w:pPr>
      <w:spacing w:after="0"/>
    </w:pPr>
    <w:rPr>
      <w:rFonts w:ascii="Arial" w:hAnsi="Arial"/>
      <w:b/>
      <w:color w:val="000000" w:themeColor="text1"/>
      <w:sz w:val="28"/>
    </w:rPr>
  </w:style>
  <w:style w:type="paragraph" w:customStyle="1" w:styleId="GNHS1">
    <w:name w:val="GNHS 1"/>
    <w:basedOn w:val="Heading1"/>
    <w:link w:val="GNHS1Char"/>
    <w:qFormat/>
    <w:rsid w:val="00B549CD"/>
    <w:rPr>
      <w:rFonts w:ascii="Arial" w:hAnsi="Arial"/>
      <w:b/>
      <w:color w:val="000000" w:themeColor="text1"/>
    </w:rPr>
  </w:style>
  <w:style w:type="character" w:customStyle="1" w:styleId="GNHS2Char">
    <w:name w:val="GNHS 2 Char"/>
    <w:basedOn w:val="SubtitleChar"/>
    <w:link w:val="GNHS2"/>
    <w:rsid w:val="005A7CF0"/>
    <w:rPr>
      <w:rFonts w:ascii="Arial" w:eastAsiaTheme="minorEastAsia" w:hAnsi="Arial" w:cstheme="minorBidi"/>
      <w:b/>
      <w:color w:val="000000" w:themeColor="text1"/>
      <w:spacing w:val="15"/>
      <w:sz w:val="28"/>
      <w:szCs w:val="22"/>
    </w:rPr>
  </w:style>
  <w:style w:type="paragraph" w:customStyle="1" w:styleId="GNHS3">
    <w:name w:val="GNHS 3"/>
    <w:basedOn w:val="Normal"/>
    <w:link w:val="GNHS3Char"/>
    <w:qFormat/>
    <w:rsid w:val="005A7CF0"/>
    <w:rPr>
      <w:rFonts w:ascii="Arial" w:hAnsi="Arial" w:cs="Arial"/>
      <w:b/>
    </w:rPr>
  </w:style>
  <w:style w:type="character" w:customStyle="1" w:styleId="GNHS1Char">
    <w:name w:val="GNHS 1 Char"/>
    <w:basedOn w:val="Heading1Char"/>
    <w:link w:val="GNHS1"/>
    <w:rsid w:val="00B549CD"/>
    <w:rPr>
      <w:rFonts w:ascii="Arial" w:eastAsiaTheme="majorEastAsia" w:hAnsi="Arial" w:cstheme="majorBidi"/>
      <w:b/>
      <w:color w:val="000000" w:themeColor="text1"/>
      <w:sz w:val="32"/>
      <w:szCs w:val="32"/>
    </w:rPr>
  </w:style>
  <w:style w:type="character" w:customStyle="1" w:styleId="GNHS3Char">
    <w:name w:val="GNHS 3 Char"/>
    <w:basedOn w:val="DefaultParagraphFont"/>
    <w:link w:val="GNHS3"/>
    <w:rsid w:val="005A7CF0"/>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28626">
      <w:bodyDiv w:val="1"/>
      <w:marLeft w:val="0"/>
      <w:marRight w:val="0"/>
      <w:marTop w:val="0"/>
      <w:marBottom w:val="0"/>
      <w:divBdr>
        <w:top w:val="none" w:sz="0" w:space="0" w:color="auto"/>
        <w:left w:val="none" w:sz="0" w:space="0" w:color="auto"/>
        <w:bottom w:val="none" w:sz="0" w:space="0" w:color="auto"/>
        <w:right w:val="none" w:sz="0" w:space="0" w:color="auto"/>
      </w:divBdr>
    </w:div>
    <w:div w:id="186066001">
      <w:bodyDiv w:val="1"/>
      <w:marLeft w:val="0"/>
      <w:marRight w:val="0"/>
      <w:marTop w:val="0"/>
      <w:marBottom w:val="0"/>
      <w:divBdr>
        <w:top w:val="none" w:sz="0" w:space="0" w:color="auto"/>
        <w:left w:val="none" w:sz="0" w:space="0" w:color="auto"/>
        <w:bottom w:val="none" w:sz="0" w:space="0" w:color="auto"/>
        <w:right w:val="none" w:sz="0" w:space="0" w:color="auto"/>
      </w:divBdr>
    </w:div>
    <w:div w:id="230310832">
      <w:bodyDiv w:val="1"/>
      <w:marLeft w:val="0"/>
      <w:marRight w:val="0"/>
      <w:marTop w:val="0"/>
      <w:marBottom w:val="0"/>
      <w:divBdr>
        <w:top w:val="none" w:sz="0" w:space="0" w:color="auto"/>
        <w:left w:val="none" w:sz="0" w:space="0" w:color="auto"/>
        <w:bottom w:val="none" w:sz="0" w:space="0" w:color="auto"/>
        <w:right w:val="none" w:sz="0" w:space="0" w:color="auto"/>
      </w:divBdr>
    </w:div>
    <w:div w:id="333651256">
      <w:bodyDiv w:val="1"/>
      <w:marLeft w:val="0"/>
      <w:marRight w:val="0"/>
      <w:marTop w:val="0"/>
      <w:marBottom w:val="0"/>
      <w:divBdr>
        <w:top w:val="none" w:sz="0" w:space="0" w:color="auto"/>
        <w:left w:val="none" w:sz="0" w:space="0" w:color="auto"/>
        <w:bottom w:val="none" w:sz="0" w:space="0" w:color="auto"/>
        <w:right w:val="none" w:sz="0" w:space="0" w:color="auto"/>
      </w:divBdr>
    </w:div>
    <w:div w:id="391779829">
      <w:bodyDiv w:val="1"/>
      <w:marLeft w:val="0"/>
      <w:marRight w:val="0"/>
      <w:marTop w:val="0"/>
      <w:marBottom w:val="0"/>
      <w:divBdr>
        <w:top w:val="none" w:sz="0" w:space="0" w:color="auto"/>
        <w:left w:val="none" w:sz="0" w:space="0" w:color="auto"/>
        <w:bottom w:val="none" w:sz="0" w:space="0" w:color="auto"/>
        <w:right w:val="none" w:sz="0" w:space="0" w:color="auto"/>
      </w:divBdr>
    </w:div>
    <w:div w:id="460656179">
      <w:bodyDiv w:val="1"/>
      <w:marLeft w:val="0"/>
      <w:marRight w:val="0"/>
      <w:marTop w:val="0"/>
      <w:marBottom w:val="0"/>
      <w:divBdr>
        <w:top w:val="none" w:sz="0" w:space="0" w:color="auto"/>
        <w:left w:val="none" w:sz="0" w:space="0" w:color="auto"/>
        <w:bottom w:val="none" w:sz="0" w:space="0" w:color="auto"/>
        <w:right w:val="none" w:sz="0" w:space="0" w:color="auto"/>
      </w:divBdr>
    </w:div>
    <w:div w:id="474758254">
      <w:bodyDiv w:val="1"/>
      <w:marLeft w:val="0"/>
      <w:marRight w:val="0"/>
      <w:marTop w:val="0"/>
      <w:marBottom w:val="0"/>
      <w:divBdr>
        <w:top w:val="none" w:sz="0" w:space="0" w:color="auto"/>
        <w:left w:val="none" w:sz="0" w:space="0" w:color="auto"/>
        <w:bottom w:val="none" w:sz="0" w:space="0" w:color="auto"/>
        <w:right w:val="none" w:sz="0" w:space="0" w:color="auto"/>
      </w:divBdr>
    </w:div>
    <w:div w:id="500658642">
      <w:bodyDiv w:val="1"/>
      <w:marLeft w:val="0"/>
      <w:marRight w:val="0"/>
      <w:marTop w:val="0"/>
      <w:marBottom w:val="0"/>
      <w:divBdr>
        <w:top w:val="none" w:sz="0" w:space="0" w:color="auto"/>
        <w:left w:val="none" w:sz="0" w:space="0" w:color="auto"/>
        <w:bottom w:val="none" w:sz="0" w:space="0" w:color="auto"/>
        <w:right w:val="none" w:sz="0" w:space="0" w:color="auto"/>
      </w:divBdr>
    </w:div>
    <w:div w:id="558246543">
      <w:bodyDiv w:val="1"/>
      <w:marLeft w:val="0"/>
      <w:marRight w:val="0"/>
      <w:marTop w:val="0"/>
      <w:marBottom w:val="0"/>
      <w:divBdr>
        <w:top w:val="none" w:sz="0" w:space="0" w:color="auto"/>
        <w:left w:val="none" w:sz="0" w:space="0" w:color="auto"/>
        <w:bottom w:val="none" w:sz="0" w:space="0" w:color="auto"/>
        <w:right w:val="none" w:sz="0" w:space="0" w:color="auto"/>
      </w:divBdr>
    </w:div>
    <w:div w:id="916481215">
      <w:bodyDiv w:val="1"/>
      <w:marLeft w:val="0"/>
      <w:marRight w:val="0"/>
      <w:marTop w:val="0"/>
      <w:marBottom w:val="0"/>
      <w:divBdr>
        <w:top w:val="none" w:sz="0" w:space="0" w:color="auto"/>
        <w:left w:val="none" w:sz="0" w:space="0" w:color="auto"/>
        <w:bottom w:val="none" w:sz="0" w:space="0" w:color="auto"/>
        <w:right w:val="none" w:sz="0" w:space="0" w:color="auto"/>
      </w:divBdr>
    </w:div>
    <w:div w:id="1129977153">
      <w:bodyDiv w:val="1"/>
      <w:marLeft w:val="0"/>
      <w:marRight w:val="0"/>
      <w:marTop w:val="0"/>
      <w:marBottom w:val="0"/>
      <w:divBdr>
        <w:top w:val="none" w:sz="0" w:space="0" w:color="auto"/>
        <w:left w:val="none" w:sz="0" w:space="0" w:color="auto"/>
        <w:bottom w:val="none" w:sz="0" w:space="0" w:color="auto"/>
        <w:right w:val="none" w:sz="0" w:space="0" w:color="auto"/>
      </w:divBdr>
      <w:divsChild>
        <w:div w:id="1468358114">
          <w:marLeft w:val="0"/>
          <w:marRight w:val="0"/>
          <w:marTop w:val="0"/>
          <w:marBottom w:val="0"/>
          <w:divBdr>
            <w:top w:val="none" w:sz="0" w:space="0" w:color="auto"/>
            <w:left w:val="none" w:sz="0" w:space="0" w:color="auto"/>
            <w:bottom w:val="none" w:sz="0" w:space="0" w:color="auto"/>
            <w:right w:val="none" w:sz="0" w:space="0" w:color="auto"/>
          </w:divBdr>
          <w:divsChild>
            <w:div w:id="1982496375">
              <w:marLeft w:val="0"/>
              <w:marRight w:val="0"/>
              <w:marTop w:val="0"/>
              <w:marBottom w:val="0"/>
              <w:divBdr>
                <w:top w:val="none" w:sz="0" w:space="0" w:color="auto"/>
                <w:left w:val="none" w:sz="0" w:space="0" w:color="auto"/>
                <w:bottom w:val="none" w:sz="0" w:space="0" w:color="auto"/>
                <w:right w:val="none" w:sz="0" w:space="0" w:color="auto"/>
              </w:divBdr>
              <w:divsChild>
                <w:div w:id="135268642">
                  <w:marLeft w:val="0"/>
                  <w:marRight w:val="0"/>
                  <w:marTop w:val="0"/>
                  <w:marBottom w:val="0"/>
                  <w:divBdr>
                    <w:top w:val="none" w:sz="0" w:space="0" w:color="auto"/>
                    <w:left w:val="none" w:sz="0" w:space="0" w:color="auto"/>
                    <w:bottom w:val="none" w:sz="0" w:space="0" w:color="auto"/>
                    <w:right w:val="none" w:sz="0" w:space="0" w:color="auto"/>
                  </w:divBdr>
                  <w:divsChild>
                    <w:div w:id="860363227">
                      <w:marLeft w:val="0"/>
                      <w:marRight w:val="0"/>
                      <w:marTop w:val="0"/>
                      <w:marBottom w:val="0"/>
                      <w:divBdr>
                        <w:top w:val="none" w:sz="0" w:space="0" w:color="auto"/>
                        <w:left w:val="none" w:sz="0" w:space="0" w:color="auto"/>
                        <w:bottom w:val="none" w:sz="0" w:space="0" w:color="auto"/>
                        <w:right w:val="none" w:sz="0" w:space="0" w:color="auto"/>
                      </w:divBdr>
                      <w:divsChild>
                        <w:div w:id="935401675">
                          <w:marLeft w:val="-360"/>
                          <w:marRight w:val="0"/>
                          <w:marTop w:val="0"/>
                          <w:marBottom w:val="0"/>
                          <w:divBdr>
                            <w:top w:val="none" w:sz="0" w:space="0" w:color="auto"/>
                            <w:left w:val="none" w:sz="0" w:space="0" w:color="auto"/>
                            <w:bottom w:val="none" w:sz="0" w:space="0" w:color="auto"/>
                            <w:right w:val="none" w:sz="0" w:space="0" w:color="auto"/>
                          </w:divBdr>
                          <w:divsChild>
                            <w:div w:id="1633124239">
                              <w:marLeft w:val="0"/>
                              <w:marRight w:val="0"/>
                              <w:marTop w:val="0"/>
                              <w:marBottom w:val="0"/>
                              <w:divBdr>
                                <w:top w:val="none" w:sz="0" w:space="0" w:color="auto"/>
                                <w:left w:val="none" w:sz="0" w:space="0" w:color="auto"/>
                                <w:bottom w:val="none" w:sz="0" w:space="0" w:color="auto"/>
                                <w:right w:val="none" w:sz="0" w:space="0" w:color="auto"/>
                              </w:divBdr>
                              <w:divsChild>
                                <w:div w:id="126695810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228221">
      <w:bodyDiv w:val="1"/>
      <w:marLeft w:val="0"/>
      <w:marRight w:val="0"/>
      <w:marTop w:val="0"/>
      <w:marBottom w:val="0"/>
      <w:divBdr>
        <w:top w:val="none" w:sz="0" w:space="0" w:color="auto"/>
        <w:left w:val="none" w:sz="0" w:space="0" w:color="auto"/>
        <w:bottom w:val="none" w:sz="0" w:space="0" w:color="auto"/>
        <w:right w:val="none" w:sz="0" w:space="0" w:color="auto"/>
      </w:divBdr>
    </w:div>
    <w:div w:id="1410301567">
      <w:bodyDiv w:val="1"/>
      <w:marLeft w:val="0"/>
      <w:marRight w:val="0"/>
      <w:marTop w:val="0"/>
      <w:marBottom w:val="0"/>
      <w:divBdr>
        <w:top w:val="none" w:sz="0" w:space="0" w:color="auto"/>
        <w:left w:val="none" w:sz="0" w:space="0" w:color="auto"/>
        <w:bottom w:val="none" w:sz="0" w:space="0" w:color="auto"/>
        <w:right w:val="none" w:sz="0" w:space="0" w:color="auto"/>
      </w:divBdr>
    </w:div>
    <w:div w:id="1589343379">
      <w:bodyDiv w:val="1"/>
      <w:marLeft w:val="0"/>
      <w:marRight w:val="0"/>
      <w:marTop w:val="0"/>
      <w:marBottom w:val="0"/>
      <w:divBdr>
        <w:top w:val="none" w:sz="0" w:space="0" w:color="auto"/>
        <w:left w:val="none" w:sz="0" w:space="0" w:color="auto"/>
        <w:bottom w:val="none" w:sz="0" w:space="0" w:color="auto"/>
        <w:right w:val="none" w:sz="0" w:space="0" w:color="auto"/>
      </w:divBdr>
    </w:div>
    <w:div w:id="1635060397">
      <w:bodyDiv w:val="1"/>
      <w:marLeft w:val="0"/>
      <w:marRight w:val="0"/>
      <w:marTop w:val="0"/>
      <w:marBottom w:val="0"/>
      <w:divBdr>
        <w:top w:val="none" w:sz="0" w:space="0" w:color="auto"/>
        <w:left w:val="none" w:sz="0" w:space="0" w:color="auto"/>
        <w:bottom w:val="none" w:sz="0" w:space="0" w:color="auto"/>
        <w:right w:val="none" w:sz="0" w:space="0" w:color="auto"/>
      </w:divBdr>
    </w:div>
    <w:div w:id="1735152715">
      <w:bodyDiv w:val="1"/>
      <w:marLeft w:val="0"/>
      <w:marRight w:val="0"/>
      <w:marTop w:val="0"/>
      <w:marBottom w:val="0"/>
      <w:divBdr>
        <w:top w:val="none" w:sz="0" w:space="0" w:color="auto"/>
        <w:left w:val="none" w:sz="0" w:space="0" w:color="auto"/>
        <w:bottom w:val="none" w:sz="0" w:space="0" w:color="auto"/>
        <w:right w:val="none" w:sz="0" w:space="0" w:color="auto"/>
      </w:divBdr>
    </w:div>
    <w:div w:id="1927302531">
      <w:bodyDiv w:val="1"/>
      <w:marLeft w:val="0"/>
      <w:marRight w:val="0"/>
      <w:marTop w:val="0"/>
      <w:marBottom w:val="0"/>
      <w:divBdr>
        <w:top w:val="none" w:sz="0" w:space="0" w:color="auto"/>
        <w:left w:val="none" w:sz="0" w:space="0" w:color="auto"/>
        <w:bottom w:val="none" w:sz="0" w:space="0" w:color="auto"/>
        <w:right w:val="none" w:sz="0" w:space="0" w:color="auto"/>
      </w:divBdr>
    </w:div>
    <w:div w:id="2125071195">
      <w:bodyDiv w:val="1"/>
      <w:marLeft w:val="0"/>
      <w:marRight w:val="0"/>
      <w:marTop w:val="0"/>
      <w:marBottom w:val="0"/>
      <w:divBdr>
        <w:top w:val="none" w:sz="0" w:space="0" w:color="auto"/>
        <w:left w:val="none" w:sz="0" w:space="0" w:color="auto"/>
        <w:bottom w:val="none" w:sz="0" w:space="0" w:color="auto"/>
        <w:right w:val="none" w:sz="0" w:space="0" w:color="auto"/>
      </w:divBdr>
    </w:div>
    <w:div w:id="214337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businessdictionary.com/definition/measure.html" TargetMode="External"/><Relationship Id="rId26" Type="http://schemas.openxmlformats.org/officeDocument/2006/relationships/hyperlink" Target="http://www.businessdictionary.com/definition/term.html" TargetMode="External"/><Relationship Id="rId3" Type="http://schemas.openxmlformats.org/officeDocument/2006/relationships/styles" Target="styles.xml"/><Relationship Id="rId21" Type="http://schemas.openxmlformats.org/officeDocument/2006/relationships/hyperlink" Target="http://www.businessdictionary.com/definition/rate-of-inflation.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nlp.org.uk/" TargetMode="External"/><Relationship Id="rId17" Type="http://schemas.openxmlformats.org/officeDocument/2006/relationships/image" Target="media/image9.png"/><Relationship Id="rId25" Type="http://schemas.openxmlformats.org/officeDocument/2006/relationships/hyperlink" Target="http://www.businessdictionary.com/definition/services.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businessdictionary.com/definition/currency.html" TargetMode="External"/><Relationship Id="rId29" Type="http://schemas.openxmlformats.org/officeDocument/2006/relationships/hyperlink" Target="http://www.businessdictionary.com/definition/purchasing-pow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usinessdictionary.com/definition/basket-of-good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businessdictionary.com/definition/price.html" TargetMode="External"/><Relationship Id="rId28" Type="http://schemas.openxmlformats.org/officeDocument/2006/relationships/hyperlink" Target="http://www.businessdictionary.com/definition/inflation.html" TargetMode="External"/><Relationship Id="rId10" Type="http://schemas.openxmlformats.org/officeDocument/2006/relationships/image" Target="media/image3.jpeg"/><Relationship Id="rId19" Type="http://schemas.openxmlformats.org/officeDocument/2006/relationships/hyperlink" Target="http://www.businessdictionary.com/definition/changes.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businessdictionary.com/definition/current.html" TargetMode="External"/><Relationship Id="rId27" Type="http://schemas.openxmlformats.org/officeDocument/2006/relationships/hyperlink" Target="http://www.businessdictionary.com/definition/period.html" TargetMode="External"/><Relationship Id="rId30" Type="http://schemas.openxmlformats.org/officeDocument/2006/relationships/hyperlink" Target="http://planningguidance.communities.gov.uk/blog/guidance/housing-and-economic-development-needs-assessments/the-approach-to-assessing-nee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omisweb.co.uk/reports/lmp/la/1946157237/report.aspx?" TargetMode="External"/><Relationship Id="rId7" Type="http://schemas.openxmlformats.org/officeDocument/2006/relationships/hyperlink" Target="https://www.gnlp.org.uk/assets/Uploads/Reg-18-Final-Strategy-Document-0702.pdf" TargetMode="External"/><Relationship Id="rId2" Type="http://schemas.openxmlformats.org/officeDocument/2006/relationships/hyperlink" Target="https://www.greaternorwichgrowth.org.uk/planning/monitoring/" TargetMode="External"/><Relationship Id="rId1" Type="http://schemas.openxmlformats.org/officeDocument/2006/relationships/hyperlink" Target="https://www.gov.uk/government/publications/uk-house-price-index-summary-july-2019/uk-house-price-index-summary-july-2019" TargetMode="External"/><Relationship Id="rId6" Type="http://schemas.openxmlformats.org/officeDocument/2006/relationships/hyperlink" Target="https://blog.shelter.org.uk/2018/08/flatlining-wages-surging-rents-and-a-national-affordability-crisis/" TargetMode="External"/><Relationship Id="rId5" Type="http://schemas.openxmlformats.org/officeDocument/2006/relationships/hyperlink" Target="https://www.norfolkinsight.org.uk/population/report/view/b15822d80ec54439bb12134b7c857bb9/E07000149" TargetMode="External"/><Relationship Id="rId4" Type="http://schemas.openxmlformats.org/officeDocument/2006/relationships/hyperlink" Target="https://www.womensaid.org.uk/no-woman-turned-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75F8C-360A-4CA3-BC66-A4CFCF37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10598</Words>
  <Characters>57683</Characters>
  <Application>Microsoft Office Word</Application>
  <DocSecurity>12</DocSecurity>
  <Lines>480</Lines>
  <Paragraphs>136</Paragraphs>
  <ScaleCrop>false</ScaleCrop>
  <HeadingPairs>
    <vt:vector size="2" baseType="variant">
      <vt:variant>
        <vt:lpstr>Title</vt:lpstr>
      </vt:variant>
      <vt:variant>
        <vt:i4>1</vt:i4>
      </vt:variant>
    </vt:vector>
  </HeadingPairs>
  <TitlesOfParts>
    <vt:vector size="1" baseType="lpstr">
      <vt:lpstr>Greater Norwich Homelessness Strategy 2020-2025</vt:lpstr>
    </vt:vector>
  </TitlesOfParts>
  <Company/>
  <LinksUpToDate>false</LinksUpToDate>
  <CharactersWithSpaces>68145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Accessibility_version_Greater_Norwich_Homelessness_Strategy_2020_2025</dc:title>
  <dc:creator>Chris Hancock;victoria.parsons@broadland.gov.uk</dc:creator>
  <cp:lastModifiedBy>snab-importer</cp:lastModifiedBy>
  <cp:revision>2</cp:revision>
  <cp:lastPrinted>2020-03-04T13:31:00Z</cp:lastPrinted>
  <dcterms:created xsi:type="dcterms:W3CDTF">2021-09-01T07:26:00Z</dcterms:created>
  <dcterms:modified xsi:type="dcterms:W3CDTF">2024-06-26T11:35:00Z</dcterms:modified>
  <cp:keywords>
  </cp:keywords>
  <dc:subject>
  </dc:subject>
</cp:coreProperties>
</file>