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26E" w:rsidRDefault="00D51E67" w14:paraId="65ED5E8F" w14:textId="715B4948">
      <w:r w:rsidRPr="00D51E67">
        <w:rPr>
          <w:noProof/>
        </w:rPr>
        <w:drawing>
          <wp:inline distT="0" distB="0" distL="0" distR="0" wp14:anchorId="3C2406B4" wp14:editId="53800561">
            <wp:extent cx="2000250" cy="962025"/>
            <wp:effectExtent l="0" t="0" r="0" b="9525"/>
            <wp:docPr id="1786087131"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962025"/>
                    </a:xfrm>
                    <a:prstGeom prst="rect">
                      <a:avLst/>
                    </a:prstGeom>
                    <a:noFill/>
                    <a:ln>
                      <a:noFill/>
                    </a:ln>
                  </pic:spPr>
                </pic:pic>
              </a:graphicData>
            </a:graphic>
          </wp:inline>
        </w:drawing>
      </w:r>
      <w:r w:rsidRPr="00D51E67">
        <w:br/>
      </w:r>
    </w:p>
    <w:p w:rsidR="00D51E67" w:rsidP="00D51E67" w:rsidRDefault="00D51E67" w14:paraId="109B302C" w14:textId="77777777">
      <w:pPr>
        <w:jc w:val="center"/>
        <w:rPr>
          <w:b/>
          <w:bCs/>
        </w:rPr>
      </w:pPr>
      <w:r w:rsidRPr="00D51E67">
        <w:rPr>
          <w:b/>
          <w:bCs/>
        </w:rPr>
        <w:t>Tenant Satisfaction Measures</w:t>
      </w:r>
    </w:p>
    <w:p w:rsidRPr="00D51E67" w:rsidR="00D51E67" w:rsidP="00D51E67" w:rsidRDefault="00D51E67" w14:paraId="0BE5FDB9" w14:textId="4AB101F1">
      <w:r w:rsidRPr="00D51E67">
        <w:t>We have captured a 3 month portion of the 202</w:t>
      </w:r>
      <w:r w:rsidR="005732C3">
        <w:t>5</w:t>
      </w:r>
      <w:r w:rsidRPr="00D51E67">
        <w:t>-202</w:t>
      </w:r>
      <w:r w:rsidR="005732C3">
        <w:t>6</w:t>
      </w:r>
      <w:r w:rsidRPr="00D51E67">
        <w:t xml:space="preserve"> year, during September, October and November, and the headline results are below:</w:t>
      </w:r>
    </w:p>
    <w:p w:rsidRPr="00D51E67" w:rsidR="00D51E67" w:rsidP="00D51E67" w:rsidRDefault="00D51E67" w14:paraId="11434F9E" w14:textId="50D1A1AA">
      <w:r w:rsidRPr="00D51E67">
        <w:t xml:space="preserve">The survey was carried out </w:t>
      </w:r>
      <w:r w:rsidR="005732C3">
        <w:t xml:space="preserve">using many forms: online, email, paper and telephone. </w:t>
      </w:r>
      <w:r w:rsidRPr="00D51E67">
        <w:t xml:space="preserve">We used existing internal resources to carry out the survey. We contacted </w:t>
      </w:r>
      <w:r w:rsidR="005732C3">
        <w:t>89 households</w:t>
      </w:r>
      <w:r w:rsidRPr="00D51E67">
        <w:t xml:space="preserve"> and had </w:t>
      </w:r>
      <w:r w:rsidR="005732C3">
        <w:t>27</w:t>
      </w:r>
      <w:r w:rsidRPr="00D51E67">
        <w:t xml:space="preserve"> </w:t>
      </w:r>
      <w:r w:rsidR="005732C3">
        <w:t>respondents</w:t>
      </w:r>
      <w:r w:rsidRPr="00D51E67">
        <w:t xml:space="preserve">, which is a </w:t>
      </w:r>
      <w:r w:rsidR="005732C3">
        <w:t>30.33</w:t>
      </w:r>
      <w:r w:rsidRPr="00D51E67">
        <w:t>% response. Although this response is low it is a</w:t>
      </w:r>
      <w:r w:rsidR="005732C3">
        <w:t xml:space="preserve"> significant</w:t>
      </w:r>
      <w:r w:rsidRPr="00D51E67">
        <w:t xml:space="preserve"> increase on the response attained last year and it is not wholly unexpected as the properties are used for interim and temporary accommodation and the cohort is extremely transient. </w:t>
      </w:r>
    </w:p>
    <w:p w:rsidRPr="00D51E67" w:rsidR="00D51E67" w:rsidP="00D51E67" w:rsidRDefault="005732C3" w14:paraId="5E5216B8" w14:textId="78334CFB">
      <w:r>
        <w:t xml:space="preserve">During this period </w:t>
      </w:r>
      <w:r w:rsidRPr="00D51E67" w:rsidR="00D51E67">
        <w:t>Broadland District Council own</w:t>
      </w:r>
      <w:r>
        <w:t>ed 20 properties which can accommodate up to 53 households and all are used</w:t>
      </w:r>
      <w:r w:rsidRPr="00D51E67" w:rsidR="00D51E67">
        <w:t xml:space="preserve"> as temporary accommodation</w:t>
      </w:r>
      <w:r>
        <w:t>.</w:t>
      </w:r>
    </w:p>
    <w:p w:rsidR="00D51E67" w:rsidP="00D51E67" w:rsidRDefault="00D51E67" w14:paraId="3D89D1EE" w14:textId="5612217A">
      <w:r>
        <w:t>The table below sets out, for each TSM measure the score received, this reflects residents who reported that they are satisfied or very satisfied with the service they receive:</w:t>
      </w:r>
    </w:p>
    <w:p w:rsidRPr="00D51E67" w:rsidR="00D51E67" w:rsidP="00D51E67" w:rsidRDefault="00097C20" w14:paraId="3C5FFA76" w14:textId="5A650F35">
      <w:pPr>
        <w:rPr>
          <w:b/>
          <w:bCs/>
        </w:rPr>
      </w:pPr>
      <w:r>
        <w:rPr>
          <w:b/>
          <w:bCs/>
        </w:rPr>
        <w:t>TSM’s Collected from Tenant Perception Surveys</w:t>
      </w:r>
    </w:p>
    <w:tbl>
      <w:tblPr>
        <w:tblStyle w:val="TableGrid"/>
        <w:tblW w:w="0" w:type="auto"/>
        <w:tblLook w:val="04A0" w:firstRow="1" w:lastRow="0" w:firstColumn="1" w:lastColumn="0" w:noHBand="0" w:noVBand="1"/>
      </w:tblPr>
      <w:tblGrid>
        <w:gridCol w:w="3005"/>
        <w:gridCol w:w="3005"/>
        <w:gridCol w:w="3006"/>
      </w:tblGrid>
      <w:tr w:rsidRPr="008E6ADD" w:rsidR="00D51E67" w:rsidTr="007A7471" w14:paraId="65167037" w14:textId="77777777">
        <w:tc>
          <w:tcPr>
            <w:tcW w:w="3005" w:type="dxa"/>
          </w:tcPr>
          <w:p w:rsidRPr="005576B9" w:rsidR="00D51E67" w:rsidP="007A7471" w:rsidRDefault="00D51E67" w14:paraId="6B477D49" w14:textId="6F40C2A4">
            <w:r w:rsidRPr="005576B9">
              <w:t xml:space="preserve">TP01 - </w:t>
            </w:r>
            <w:r w:rsidR="005732C3">
              <w:t>78</w:t>
            </w:r>
            <w:r w:rsidRPr="005576B9">
              <w:t>% Overall Satisfaction</w:t>
            </w:r>
          </w:p>
          <w:p w:rsidRPr="005576B9" w:rsidR="00D51E67" w:rsidP="007A7471" w:rsidRDefault="00D51E67" w14:paraId="309E53F4" w14:textId="77777777"/>
        </w:tc>
        <w:tc>
          <w:tcPr>
            <w:tcW w:w="3005" w:type="dxa"/>
          </w:tcPr>
          <w:p w:rsidRPr="005576B9" w:rsidR="00D51E67" w:rsidP="007A7471" w:rsidRDefault="00D51E67" w14:paraId="450789FD" w14:textId="39B4DFEE">
            <w:r w:rsidRPr="005576B9">
              <w:t xml:space="preserve">TP02 - </w:t>
            </w:r>
            <w:r w:rsidR="005732C3">
              <w:t>74</w:t>
            </w:r>
            <w:r w:rsidRPr="005576B9">
              <w:t>% Satisfaction with Repairs</w:t>
            </w:r>
          </w:p>
          <w:p w:rsidRPr="005576B9" w:rsidR="00D51E67" w:rsidP="007A7471" w:rsidRDefault="00D51E67" w14:paraId="4D457A4A" w14:textId="77777777"/>
        </w:tc>
        <w:tc>
          <w:tcPr>
            <w:tcW w:w="3006" w:type="dxa"/>
          </w:tcPr>
          <w:p w:rsidRPr="005576B9" w:rsidR="00D51E67" w:rsidP="007A7471" w:rsidRDefault="00D51E67" w14:paraId="7D713861" w14:textId="7ED18B52">
            <w:r w:rsidRPr="005576B9">
              <w:t xml:space="preserve">TP03 - </w:t>
            </w:r>
            <w:r w:rsidR="005732C3">
              <w:t>8</w:t>
            </w:r>
            <w:r w:rsidRPr="005576B9">
              <w:t>0% Satisfaction with time taken to complete the most recent repair</w:t>
            </w:r>
          </w:p>
          <w:p w:rsidRPr="005576B9" w:rsidR="00D51E67" w:rsidP="007A7471" w:rsidRDefault="00D51E67" w14:paraId="7B8CD6B9" w14:textId="77777777"/>
        </w:tc>
      </w:tr>
      <w:tr w:rsidRPr="008E6ADD" w:rsidR="00D51E67" w:rsidTr="007A7471" w14:paraId="6E55478E" w14:textId="77777777">
        <w:tc>
          <w:tcPr>
            <w:tcW w:w="3005" w:type="dxa"/>
          </w:tcPr>
          <w:p w:rsidRPr="005576B9" w:rsidR="00D51E67" w:rsidP="007A7471" w:rsidRDefault="00D51E67" w14:paraId="28DBD54F" w14:textId="49E0AC03">
            <w:r w:rsidRPr="005576B9">
              <w:t xml:space="preserve">TP04 - </w:t>
            </w:r>
            <w:r w:rsidR="005732C3">
              <w:t>85</w:t>
            </w:r>
            <w:r w:rsidRPr="005576B9">
              <w:t>% Satisfaction that the property is well maintained</w:t>
            </w:r>
          </w:p>
          <w:p w:rsidRPr="005576B9" w:rsidR="00D51E67" w:rsidP="007A7471" w:rsidRDefault="00D51E67" w14:paraId="1492FDAF" w14:textId="77777777"/>
        </w:tc>
        <w:tc>
          <w:tcPr>
            <w:tcW w:w="3005" w:type="dxa"/>
          </w:tcPr>
          <w:p w:rsidRPr="005576B9" w:rsidR="00D51E67" w:rsidP="007A7471" w:rsidRDefault="00D51E67" w14:paraId="661AEF13" w14:textId="188A58D9">
            <w:r w:rsidRPr="005576B9">
              <w:t xml:space="preserve">TP05 – </w:t>
            </w:r>
            <w:r w:rsidR="005732C3">
              <w:t>78</w:t>
            </w:r>
            <w:r w:rsidRPr="005576B9">
              <w:t>% Satisfaction that the home is safe</w:t>
            </w:r>
          </w:p>
          <w:p w:rsidRPr="005576B9" w:rsidR="00D51E67" w:rsidP="007A7471" w:rsidRDefault="00D51E67" w14:paraId="32529733" w14:textId="77777777"/>
        </w:tc>
        <w:tc>
          <w:tcPr>
            <w:tcW w:w="3006" w:type="dxa"/>
          </w:tcPr>
          <w:p w:rsidRPr="005576B9" w:rsidR="00D51E67" w:rsidP="007A7471" w:rsidRDefault="00D51E67" w14:paraId="257F5D90" w14:textId="51CD13B7">
            <w:r w:rsidRPr="005576B9">
              <w:t xml:space="preserve">TP06 - </w:t>
            </w:r>
            <w:r w:rsidR="005732C3">
              <w:t>89</w:t>
            </w:r>
            <w:r w:rsidRPr="005576B9">
              <w:t>% Satisfaction that the landlord listens to tenant views and acts upon them</w:t>
            </w:r>
          </w:p>
          <w:p w:rsidRPr="005576B9" w:rsidR="00D51E67" w:rsidP="007A7471" w:rsidRDefault="00D51E67" w14:paraId="22353595" w14:textId="77777777"/>
        </w:tc>
      </w:tr>
      <w:tr w:rsidRPr="008E6ADD" w:rsidR="00D51E67" w:rsidTr="007A7471" w14:paraId="3DFB8233" w14:textId="77777777">
        <w:tc>
          <w:tcPr>
            <w:tcW w:w="3005" w:type="dxa"/>
          </w:tcPr>
          <w:p w:rsidRPr="005576B9" w:rsidR="00D51E67" w:rsidP="007A7471" w:rsidRDefault="00D51E67" w14:paraId="58A6F5CA" w14:textId="3D44EC45">
            <w:r w:rsidRPr="005576B9">
              <w:t xml:space="preserve">TP07 – </w:t>
            </w:r>
            <w:r w:rsidR="005732C3">
              <w:t>85</w:t>
            </w:r>
            <w:r w:rsidRPr="005576B9">
              <w:t>% Satisfaction that the landlord keeps tenants informed about things that matter to them</w:t>
            </w:r>
          </w:p>
          <w:p w:rsidRPr="005576B9" w:rsidR="00D51E67" w:rsidP="007A7471" w:rsidRDefault="00D51E67" w14:paraId="1830331B" w14:textId="77777777"/>
        </w:tc>
        <w:tc>
          <w:tcPr>
            <w:tcW w:w="3005" w:type="dxa"/>
          </w:tcPr>
          <w:p w:rsidRPr="005576B9" w:rsidR="00D51E67" w:rsidP="007A7471" w:rsidRDefault="00D51E67" w14:paraId="0C255BCB" w14:textId="2083C211">
            <w:r w:rsidRPr="005576B9">
              <w:t xml:space="preserve">TP08 – </w:t>
            </w:r>
            <w:r w:rsidR="005732C3">
              <w:t>92</w:t>
            </w:r>
            <w:r w:rsidRPr="005576B9">
              <w:t>% Agreement that the landlord treats tenants fairly and with respect</w:t>
            </w:r>
          </w:p>
          <w:p w:rsidRPr="005576B9" w:rsidR="00D51E67" w:rsidP="007A7471" w:rsidRDefault="00D51E67" w14:paraId="103F2B14" w14:textId="77777777"/>
        </w:tc>
        <w:tc>
          <w:tcPr>
            <w:tcW w:w="3006" w:type="dxa"/>
          </w:tcPr>
          <w:p w:rsidRPr="005576B9" w:rsidR="00D51E67" w:rsidP="007A7471" w:rsidRDefault="00D51E67" w14:paraId="626457CF" w14:textId="55F18027">
            <w:r w:rsidRPr="005576B9">
              <w:t xml:space="preserve">TP09 – </w:t>
            </w:r>
            <w:r w:rsidR="005732C3">
              <w:t>92</w:t>
            </w:r>
            <w:r w:rsidRPr="005576B9">
              <w:t>% Satisfaction with the landlord’s approach to handling complaints</w:t>
            </w:r>
          </w:p>
          <w:p w:rsidRPr="005576B9" w:rsidR="00D51E67" w:rsidP="007A7471" w:rsidRDefault="00D51E67" w14:paraId="3E898D38" w14:textId="77777777"/>
        </w:tc>
      </w:tr>
      <w:tr w:rsidR="00D51E67" w:rsidTr="007A7471" w14:paraId="6E5A3AC3" w14:textId="77777777">
        <w:tc>
          <w:tcPr>
            <w:tcW w:w="3005" w:type="dxa"/>
          </w:tcPr>
          <w:p w:rsidRPr="005576B9" w:rsidR="00D51E67" w:rsidP="007A7471" w:rsidRDefault="00D51E67" w14:paraId="74BEA4BB" w14:textId="39140111">
            <w:r w:rsidRPr="005576B9">
              <w:t xml:space="preserve">TP10 - </w:t>
            </w:r>
            <w:r w:rsidR="005732C3">
              <w:t>84</w:t>
            </w:r>
            <w:r w:rsidRPr="005576B9">
              <w:t>% Satisfaction that the landlord keeps communal areas clean and well maintained</w:t>
            </w:r>
          </w:p>
          <w:p w:rsidRPr="005576B9" w:rsidR="00D51E67" w:rsidP="007A7471" w:rsidRDefault="00D51E67" w14:paraId="50C2A1B4" w14:textId="77777777"/>
        </w:tc>
        <w:tc>
          <w:tcPr>
            <w:tcW w:w="3005" w:type="dxa"/>
          </w:tcPr>
          <w:p w:rsidRPr="005576B9" w:rsidR="00D51E67" w:rsidP="007A7471" w:rsidRDefault="00D51E67" w14:paraId="55C25553" w14:textId="70B28737">
            <w:r w:rsidRPr="005576B9">
              <w:t xml:space="preserve">TP11 – </w:t>
            </w:r>
            <w:r w:rsidR="005732C3">
              <w:t>66</w:t>
            </w:r>
            <w:r w:rsidRPr="005576B9">
              <w:t>% Satisfaction that the landlord makes a positive contribution to neighbourhoods</w:t>
            </w:r>
          </w:p>
        </w:tc>
        <w:tc>
          <w:tcPr>
            <w:tcW w:w="3006" w:type="dxa"/>
          </w:tcPr>
          <w:p w:rsidRPr="005576B9" w:rsidR="00D51E67" w:rsidP="007A7471" w:rsidRDefault="00D51E67" w14:paraId="1B503050" w14:textId="7CE51EFC">
            <w:r w:rsidRPr="005576B9">
              <w:t xml:space="preserve">TP12 – </w:t>
            </w:r>
            <w:r w:rsidR="005732C3">
              <w:t>89</w:t>
            </w:r>
            <w:r w:rsidRPr="005576B9">
              <w:t>% Satisfaction with the landlords approach to handling anti-social behaviour</w:t>
            </w:r>
          </w:p>
        </w:tc>
      </w:tr>
    </w:tbl>
    <w:p w:rsidR="00D51E67" w:rsidP="00D51E67" w:rsidRDefault="00D51E67" w14:paraId="5302FF02" w14:textId="77777777"/>
    <w:p w:rsidR="00097C20" w:rsidRDefault="00097C20" w14:paraId="4E2350C7" w14:textId="77777777">
      <w:pPr>
        <w:rPr>
          <w:b/>
          <w:bCs/>
        </w:rPr>
      </w:pPr>
      <w:r>
        <w:rPr>
          <w:b/>
          <w:bCs/>
        </w:rPr>
        <w:br w:type="page"/>
      </w:r>
    </w:p>
    <w:p w:rsidR="00D51E67" w:rsidRDefault="00097C20" w14:paraId="42F8E342" w14:textId="13890121">
      <w:pPr>
        <w:rPr>
          <w:b/>
          <w:bCs/>
        </w:rPr>
      </w:pPr>
      <w:r>
        <w:rPr>
          <w:b/>
          <w:bCs/>
        </w:rPr>
        <w:lastRenderedPageBreak/>
        <w:t>TSM’s Generated from Management Information</w:t>
      </w:r>
    </w:p>
    <w:p w:rsidRPr="00D51E67" w:rsidR="00D51E67" w:rsidP="00D51E67" w:rsidRDefault="00D51E67" w14:paraId="3F6530EE" w14:textId="7C46CB79">
      <w:pPr>
        <w:rPr>
          <w:b/>
          <w:bCs/>
        </w:rPr>
      </w:pPr>
      <w:r w:rsidRPr="00D51E67">
        <w:rPr>
          <w:b/>
          <w:bCs/>
        </w:rPr>
        <w:t>Building Safety</w:t>
      </w:r>
    </w:p>
    <w:tbl>
      <w:tblPr>
        <w:tblStyle w:val="TableGrid"/>
        <w:tblW w:w="0" w:type="auto"/>
        <w:tblLook w:val="04A0" w:firstRow="1" w:lastRow="0" w:firstColumn="1" w:lastColumn="0" w:noHBand="0" w:noVBand="1"/>
      </w:tblPr>
      <w:tblGrid>
        <w:gridCol w:w="3005"/>
        <w:gridCol w:w="3005"/>
        <w:gridCol w:w="3006"/>
      </w:tblGrid>
      <w:tr w:rsidRPr="00D51E67" w:rsidR="00D51E67" w:rsidTr="00D51E67" w14:paraId="4DF43059" w14:textId="77777777">
        <w:tc>
          <w:tcPr>
            <w:tcW w:w="3005"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2812E53E" w14:textId="77777777">
            <w:pPr>
              <w:spacing w:after="160" w:line="259" w:lineRule="auto"/>
            </w:pPr>
            <w:r w:rsidRPr="00D51E67">
              <w:t>BS01 – 100% All required gas safety checks have been carried out</w:t>
            </w:r>
          </w:p>
        </w:tc>
        <w:tc>
          <w:tcPr>
            <w:tcW w:w="3005"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77F139A3" w14:textId="77777777">
            <w:pPr>
              <w:spacing w:after="160" w:line="259" w:lineRule="auto"/>
            </w:pPr>
            <w:r w:rsidRPr="00D51E67">
              <w:t>BS02 – 100% All required fire risk assessments have been carried out</w:t>
            </w:r>
          </w:p>
        </w:tc>
        <w:tc>
          <w:tcPr>
            <w:tcW w:w="3006"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7C3D124E" w14:textId="77777777">
            <w:pPr>
              <w:spacing w:after="160" w:line="259" w:lineRule="auto"/>
            </w:pPr>
            <w:r w:rsidRPr="00D51E67">
              <w:t>BS03 – 100% All required asbestos management surveys or re-inspections have been carried out</w:t>
            </w:r>
          </w:p>
        </w:tc>
      </w:tr>
      <w:tr w:rsidRPr="00D51E67" w:rsidR="00D51E67" w:rsidTr="00D51E67" w14:paraId="0C5F8562" w14:textId="77777777">
        <w:tc>
          <w:tcPr>
            <w:tcW w:w="3005"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2BEFA378" w14:textId="77777777">
            <w:pPr>
              <w:spacing w:after="160" w:line="259" w:lineRule="auto"/>
            </w:pPr>
            <w:r w:rsidRPr="00D51E67">
              <w:t>BS04 – 100% All required legionella risk assessments have been carried out</w:t>
            </w:r>
          </w:p>
        </w:tc>
        <w:tc>
          <w:tcPr>
            <w:tcW w:w="3005"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235F03F8" w14:textId="77777777">
            <w:pPr>
              <w:spacing w:after="160" w:line="259" w:lineRule="auto"/>
            </w:pPr>
            <w:r w:rsidRPr="00D51E67">
              <w:t>BS05 – Not applicable as there are no lifts within the owned property stock</w:t>
            </w:r>
          </w:p>
        </w:tc>
        <w:tc>
          <w:tcPr>
            <w:tcW w:w="3006" w:type="dxa"/>
            <w:tcBorders>
              <w:top w:val="single" w:color="auto" w:sz="4" w:space="0"/>
              <w:left w:val="single" w:color="auto" w:sz="4" w:space="0"/>
              <w:bottom w:val="single" w:color="auto" w:sz="4" w:space="0"/>
              <w:right w:val="single" w:color="auto" w:sz="4" w:space="0"/>
            </w:tcBorders>
          </w:tcPr>
          <w:p w:rsidRPr="00D51E67" w:rsidR="00D51E67" w:rsidP="00D51E67" w:rsidRDefault="00D51E67" w14:paraId="0F27FE9D" w14:textId="77777777">
            <w:pPr>
              <w:spacing w:after="160" w:line="259" w:lineRule="auto"/>
            </w:pPr>
          </w:p>
        </w:tc>
      </w:tr>
    </w:tbl>
    <w:p w:rsidRPr="00D51E67" w:rsidR="00D51E67" w:rsidP="00D51E67" w:rsidRDefault="00D51E67" w14:paraId="478CCADB" w14:textId="77777777"/>
    <w:p w:rsidRPr="00D51E67" w:rsidR="00D51E67" w:rsidP="00D51E67" w:rsidRDefault="00D51E67" w14:paraId="7F4F0D9E" w14:textId="77777777">
      <w:pPr>
        <w:rPr>
          <w:b/>
          <w:bCs/>
        </w:rPr>
      </w:pPr>
      <w:r w:rsidRPr="00D51E67">
        <w:rPr>
          <w:b/>
          <w:bCs/>
        </w:rPr>
        <w:t>Anti-social Behaviour</w:t>
      </w:r>
    </w:p>
    <w:tbl>
      <w:tblPr>
        <w:tblStyle w:val="TableGrid"/>
        <w:tblW w:w="0" w:type="auto"/>
        <w:tblLook w:val="04A0" w:firstRow="1" w:lastRow="0" w:firstColumn="1" w:lastColumn="0" w:noHBand="0" w:noVBand="1"/>
      </w:tblPr>
      <w:tblGrid>
        <w:gridCol w:w="9016"/>
      </w:tblGrid>
      <w:tr w:rsidRPr="00D51E67" w:rsidR="00D51E67" w:rsidTr="00D51E67" w14:paraId="6FB79DB4" w14:textId="77777777">
        <w:tc>
          <w:tcPr>
            <w:tcW w:w="9016"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16CA7357" w14:textId="1B21A455">
            <w:pPr>
              <w:spacing w:after="160" w:line="259" w:lineRule="auto"/>
            </w:pPr>
            <w:r w:rsidRPr="00D51E67">
              <w:t xml:space="preserve">NM01 (pt 1) – </w:t>
            </w:r>
            <w:r w:rsidR="005732C3">
              <w:t>0</w:t>
            </w:r>
            <w:r w:rsidRPr="00D51E67">
              <w:t xml:space="preserve"> x anti-social behaviour case opened</w:t>
            </w:r>
          </w:p>
        </w:tc>
      </w:tr>
      <w:tr w:rsidRPr="00D51E67" w:rsidR="00D51E67" w:rsidTr="00D51E67" w14:paraId="502B38F8" w14:textId="77777777">
        <w:tc>
          <w:tcPr>
            <w:tcW w:w="9016"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7229FF12" w14:textId="77777777">
            <w:pPr>
              <w:spacing w:after="160" w:line="259" w:lineRule="auto"/>
            </w:pPr>
            <w:r w:rsidRPr="00D51E67">
              <w:t>NM01 (pt 2) – 0 x anti-social behaviour cases that involve hate incidents opened</w:t>
            </w:r>
          </w:p>
        </w:tc>
      </w:tr>
    </w:tbl>
    <w:p w:rsidRPr="00D51E67" w:rsidR="00D51E67" w:rsidP="00D51E67" w:rsidRDefault="00D51E67" w14:paraId="25355D6F" w14:textId="77777777"/>
    <w:p w:rsidRPr="00D51E67" w:rsidR="00D51E67" w:rsidP="00D51E67" w:rsidRDefault="00D51E67" w14:paraId="0B4E2EEA" w14:textId="77777777">
      <w:pPr>
        <w:rPr>
          <w:b/>
          <w:bCs/>
        </w:rPr>
      </w:pPr>
      <w:r w:rsidRPr="00D51E67">
        <w:rPr>
          <w:b/>
          <w:bCs/>
        </w:rPr>
        <w:t>Decent Homes Standard and Repairs</w:t>
      </w:r>
    </w:p>
    <w:tbl>
      <w:tblPr>
        <w:tblStyle w:val="TableGrid"/>
        <w:tblW w:w="0" w:type="auto"/>
        <w:tblLook w:val="04A0" w:firstRow="1" w:lastRow="0" w:firstColumn="1" w:lastColumn="0" w:noHBand="0" w:noVBand="1"/>
      </w:tblPr>
      <w:tblGrid>
        <w:gridCol w:w="3005"/>
        <w:gridCol w:w="3005"/>
        <w:gridCol w:w="3006"/>
      </w:tblGrid>
      <w:tr w:rsidRPr="00D51E67" w:rsidR="00D51E67" w:rsidTr="00D51E67" w14:paraId="52B4CF78" w14:textId="77777777">
        <w:tc>
          <w:tcPr>
            <w:tcW w:w="3005"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516A7457" w14:textId="57BCC10A">
            <w:pPr>
              <w:spacing w:after="160" w:line="259" w:lineRule="auto"/>
            </w:pPr>
            <w:r w:rsidRPr="00D51E67">
              <w:t xml:space="preserve">RP01 – </w:t>
            </w:r>
            <w:r w:rsidR="005732C3">
              <w:t>0</w:t>
            </w:r>
            <w:r w:rsidRPr="00D51E67">
              <w:t xml:space="preserve">% of properties that do not meet the Decent Homes Standard. </w:t>
            </w:r>
          </w:p>
        </w:tc>
        <w:tc>
          <w:tcPr>
            <w:tcW w:w="3005"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7BFE0352" w14:textId="52A3978E">
            <w:pPr>
              <w:spacing w:after="160" w:line="259" w:lineRule="auto"/>
            </w:pPr>
            <w:r w:rsidRPr="00D51E67">
              <w:t xml:space="preserve">RP02 (1) – </w:t>
            </w:r>
            <w:r w:rsidR="005732C3">
              <w:t>91.85</w:t>
            </w:r>
            <w:r w:rsidRPr="00D51E67">
              <w:t>% Proportion of non-emergency responsive repairs completed within the landlord’s target timescale</w:t>
            </w:r>
          </w:p>
        </w:tc>
        <w:tc>
          <w:tcPr>
            <w:tcW w:w="3006"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5AD25933" w14:textId="71318325">
            <w:pPr>
              <w:spacing w:after="160" w:line="259" w:lineRule="auto"/>
            </w:pPr>
            <w:r w:rsidRPr="00D51E67">
              <w:t xml:space="preserve">RP02 (2) – </w:t>
            </w:r>
            <w:r w:rsidR="005732C3">
              <w:t>100</w:t>
            </w:r>
            <w:r w:rsidRPr="00D51E67">
              <w:t>% Proportion of emergency responsive repairs completed within the landlord’s target timescale</w:t>
            </w:r>
          </w:p>
        </w:tc>
      </w:tr>
    </w:tbl>
    <w:p w:rsidRPr="00D51E67" w:rsidR="00D51E67" w:rsidP="00D51E67" w:rsidRDefault="00D51E67" w14:paraId="7D88158B" w14:textId="77777777"/>
    <w:p w:rsidRPr="00D51E67" w:rsidR="00D51E67" w:rsidP="00D51E67" w:rsidRDefault="00D51E67" w14:paraId="68AF655D" w14:textId="77777777">
      <w:pPr>
        <w:rPr>
          <w:b/>
          <w:bCs/>
        </w:rPr>
      </w:pPr>
      <w:r w:rsidRPr="00D51E67">
        <w:rPr>
          <w:b/>
          <w:bCs/>
        </w:rPr>
        <w:t>Complaints</w:t>
      </w:r>
    </w:p>
    <w:tbl>
      <w:tblPr>
        <w:tblStyle w:val="TableGrid"/>
        <w:tblW w:w="0" w:type="auto"/>
        <w:tblLook w:val="04A0" w:firstRow="1" w:lastRow="0" w:firstColumn="1" w:lastColumn="0" w:noHBand="0" w:noVBand="1"/>
      </w:tblPr>
      <w:tblGrid>
        <w:gridCol w:w="4508"/>
        <w:gridCol w:w="4508"/>
      </w:tblGrid>
      <w:tr w:rsidRPr="00D51E67" w:rsidR="00D51E67" w:rsidTr="00D51E67" w14:paraId="7B617DC8" w14:textId="77777777">
        <w:tc>
          <w:tcPr>
            <w:tcW w:w="4508"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2BD081F8" w14:textId="77777777">
            <w:pPr>
              <w:spacing w:after="160" w:line="259" w:lineRule="auto"/>
            </w:pPr>
            <w:r w:rsidRPr="00D51E67">
              <w:t>CH01 (1) – 1 x Number of stage one complaints received</w:t>
            </w:r>
          </w:p>
        </w:tc>
        <w:tc>
          <w:tcPr>
            <w:tcW w:w="4508"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7916D11F" w14:textId="77777777">
            <w:pPr>
              <w:spacing w:after="160" w:line="259" w:lineRule="auto"/>
            </w:pPr>
            <w:r w:rsidRPr="00D51E67">
              <w:t>CH01 (2) – 0 x Number of stage two complaints received</w:t>
            </w:r>
          </w:p>
        </w:tc>
      </w:tr>
      <w:tr w:rsidRPr="00D51E67" w:rsidR="00D51E67" w:rsidTr="00D51E67" w14:paraId="2599E1B9" w14:textId="77777777">
        <w:tc>
          <w:tcPr>
            <w:tcW w:w="4508"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662354AB" w14:textId="77777777">
            <w:pPr>
              <w:spacing w:after="160" w:line="259" w:lineRule="auto"/>
            </w:pPr>
            <w:r w:rsidRPr="00D51E67">
              <w:t>CH02 (1) – 100% Proportion of stage one complaints responded to within the Housing Ombudsman’s Complaint Handling Code timescales</w:t>
            </w:r>
          </w:p>
        </w:tc>
        <w:tc>
          <w:tcPr>
            <w:tcW w:w="4508" w:type="dxa"/>
            <w:tcBorders>
              <w:top w:val="single" w:color="auto" w:sz="4" w:space="0"/>
              <w:left w:val="single" w:color="auto" w:sz="4" w:space="0"/>
              <w:bottom w:val="single" w:color="auto" w:sz="4" w:space="0"/>
              <w:right w:val="single" w:color="auto" w:sz="4" w:space="0"/>
            </w:tcBorders>
            <w:hideMark/>
          </w:tcPr>
          <w:p w:rsidRPr="00D51E67" w:rsidR="00D51E67" w:rsidP="00D51E67" w:rsidRDefault="00D51E67" w14:paraId="74741D6D" w14:textId="77777777">
            <w:pPr>
              <w:spacing w:after="160" w:line="259" w:lineRule="auto"/>
            </w:pPr>
            <w:r w:rsidRPr="00D51E67">
              <w:t>CH02 (2) – n/a- Proportion of stage two complaints responded to within the Housing Ombudsman’s Complaint Handling Code timescales</w:t>
            </w:r>
          </w:p>
        </w:tc>
      </w:tr>
    </w:tbl>
    <w:p w:rsidR="00D51E67" w:rsidP="00D51E67" w:rsidRDefault="00D51E67" w14:paraId="352E05CC" w14:textId="77777777"/>
    <w:p w:rsidR="00D51E67" w:rsidP="00D51E67" w:rsidRDefault="00D51E67" w14:paraId="7236E4DB" w14:textId="41A12951">
      <w:r w:rsidRPr="00D51E67">
        <w:t>Broadland District Council continues to invest in supporting the customers in its temporary and interim accommodation and these results show that the council positively helps its residents during the period they are homeless. </w:t>
      </w:r>
    </w:p>
    <w:sectPr w:rsidR="00D51E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B0CE4"/>
    <w:multiLevelType w:val="multilevel"/>
    <w:tmpl w:val="9668AE4E"/>
    <w:lvl w:ilvl="0">
      <w:start w:val="1"/>
      <w:numFmt w:val="decimal"/>
      <w:pStyle w:val="ListparagraphDemocraticpapers"/>
      <w:lvlText w:val="%1."/>
      <w:lvlJc w:val="left"/>
      <w:pPr>
        <w:ind w:left="1080" w:hanging="1080"/>
      </w:pPr>
      <w:rPr>
        <w:b/>
        <w:bCs/>
      </w:rPr>
    </w:lvl>
    <w:lvl w:ilvl="1">
      <w:start w:val="1"/>
      <w:numFmt w:val="decimal"/>
      <w:lvlText w:val="%1.%2"/>
      <w:lvlJc w:val="left"/>
      <w:pPr>
        <w:ind w:left="737" w:hanging="737"/>
      </w:pPr>
      <w:rPr>
        <w:b w:val="0"/>
        <w:bCs w:val="0"/>
      </w:rPr>
    </w:lvl>
    <w:lvl w:ilvl="2">
      <w:start w:val="1"/>
      <w:numFmt w:val="lowerLetter"/>
      <w:lvlText w:val="%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61006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67"/>
    <w:rsid w:val="00097C20"/>
    <w:rsid w:val="00144E8B"/>
    <w:rsid w:val="004A4BDB"/>
    <w:rsid w:val="005732C3"/>
    <w:rsid w:val="00CF0139"/>
    <w:rsid w:val="00CF38B0"/>
    <w:rsid w:val="00D51E67"/>
    <w:rsid w:val="00EE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D6C4"/>
  <w15:chartTrackingRefBased/>
  <w15:docId w15:val="{ED9A6033-C863-4220-BC6B-21FED2F7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67"/>
    <w:rPr>
      <w:rFonts w:eastAsiaTheme="majorEastAsia" w:cstheme="majorBidi"/>
      <w:color w:val="272727" w:themeColor="text1" w:themeTint="D8"/>
    </w:rPr>
  </w:style>
  <w:style w:type="paragraph" w:styleId="Title">
    <w:name w:val="Title"/>
    <w:basedOn w:val="Normal"/>
    <w:next w:val="Normal"/>
    <w:link w:val="TitleChar"/>
    <w:uiPriority w:val="10"/>
    <w:qFormat/>
    <w:rsid w:val="00D5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67"/>
    <w:pPr>
      <w:spacing w:before="160"/>
      <w:jc w:val="center"/>
    </w:pPr>
    <w:rPr>
      <w:i/>
      <w:iCs/>
      <w:color w:val="404040" w:themeColor="text1" w:themeTint="BF"/>
    </w:rPr>
  </w:style>
  <w:style w:type="character" w:customStyle="1" w:styleId="QuoteChar">
    <w:name w:val="Quote Char"/>
    <w:basedOn w:val="DefaultParagraphFont"/>
    <w:link w:val="Quote"/>
    <w:uiPriority w:val="29"/>
    <w:rsid w:val="00D51E67"/>
    <w:rPr>
      <w:i/>
      <w:iCs/>
      <w:color w:val="404040" w:themeColor="text1" w:themeTint="BF"/>
    </w:rPr>
  </w:style>
  <w:style w:type="paragraph" w:styleId="ListParagraph">
    <w:name w:val="List Paragraph"/>
    <w:basedOn w:val="Normal"/>
    <w:uiPriority w:val="34"/>
    <w:qFormat/>
    <w:rsid w:val="00D51E67"/>
    <w:pPr>
      <w:ind w:left="720"/>
      <w:contextualSpacing/>
    </w:pPr>
  </w:style>
  <w:style w:type="character" w:styleId="IntenseEmphasis">
    <w:name w:val="Intense Emphasis"/>
    <w:basedOn w:val="DefaultParagraphFont"/>
    <w:uiPriority w:val="21"/>
    <w:qFormat/>
    <w:rsid w:val="00D51E67"/>
    <w:rPr>
      <w:i/>
      <w:iCs/>
      <w:color w:val="0F4761" w:themeColor="accent1" w:themeShade="BF"/>
    </w:rPr>
  </w:style>
  <w:style w:type="paragraph" w:styleId="IntenseQuote">
    <w:name w:val="Intense Quote"/>
    <w:basedOn w:val="Normal"/>
    <w:next w:val="Normal"/>
    <w:link w:val="IntenseQuoteChar"/>
    <w:uiPriority w:val="30"/>
    <w:qFormat/>
    <w:rsid w:val="00D5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67"/>
    <w:rPr>
      <w:i/>
      <w:iCs/>
      <w:color w:val="0F4761" w:themeColor="accent1" w:themeShade="BF"/>
    </w:rPr>
  </w:style>
  <w:style w:type="character" w:styleId="IntenseReference">
    <w:name w:val="Intense Reference"/>
    <w:basedOn w:val="DefaultParagraphFont"/>
    <w:uiPriority w:val="32"/>
    <w:qFormat/>
    <w:rsid w:val="00D51E67"/>
    <w:rPr>
      <w:b/>
      <w:bCs/>
      <w:smallCaps/>
      <w:color w:val="0F4761" w:themeColor="accent1" w:themeShade="BF"/>
      <w:spacing w:val="5"/>
    </w:rPr>
  </w:style>
  <w:style w:type="paragraph" w:customStyle="1" w:styleId="ListparagraphDemocraticpapers">
    <w:name w:val="List paragraph (Democratic papers)"/>
    <w:basedOn w:val="ListParagraph"/>
    <w:link w:val="ListparagraphDemocraticpapersChar"/>
    <w:qFormat/>
    <w:rsid w:val="00D51E67"/>
    <w:pPr>
      <w:numPr>
        <w:numId w:val="1"/>
      </w:numPr>
      <w:spacing w:line="240" w:lineRule="auto"/>
      <w:ind w:left="709" w:hanging="709"/>
    </w:pPr>
    <w:rPr>
      <w:rFonts w:ascii="Arial" w:hAnsi="Arial" w:cs="Arial"/>
      <w:bCs/>
      <w:kern w:val="0"/>
      <w:sz w:val="24"/>
      <w:szCs w:val="24"/>
      <w14:ligatures w14:val="none"/>
    </w:rPr>
  </w:style>
  <w:style w:type="character" w:customStyle="1" w:styleId="ListparagraphDemocraticpapersChar">
    <w:name w:val="List paragraph (Democratic papers) Char"/>
    <w:basedOn w:val="DefaultParagraphFont"/>
    <w:link w:val="ListparagraphDemocraticpapers"/>
    <w:rsid w:val="00D51E67"/>
    <w:rPr>
      <w:rFonts w:ascii="Arial" w:hAnsi="Arial" w:cs="Arial"/>
      <w:bCs/>
      <w:kern w:val="0"/>
      <w:sz w:val="24"/>
      <w:szCs w:val="24"/>
      <w14:ligatures w14:val="none"/>
    </w:rPr>
  </w:style>
  <w:style w:type="table" w:styleId="TableGrid">
    <w:name w:val="Table Grid"/>
    <w:basedOn w:val="TableNormal"/>
    <w:uiPriority w:val="39"/>
    <w:rsid w:val="00D51E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4007">
      <w:bodyDiv w:val="1"/>
      <w:marLeft w:val="0"/>
      <w:marRight w:val="0"/>
      <w:marTop w:val="0"/>
      <w:marBottom w:val="0"/>
      <w:divBdr>
        <w:top w:val="none" w:sz="0" w:space="0" w:color="auto"/>
        <w:left w:val="none" w:sz="0" w:space="0" w:color="auto"/>
        <w:bottom w:val="none" w:sz="0" w:space="0" w:color="auto"/>
        <w:right w:val="none" w:sz="0" w:space="0" w:color="auto"/>
      </w:divBdr>
    </w:div>
    <w:div w:id="240212389">
      <w:bodyDiv w:val="1"/>
      <w:marLeft w:val="0"/>
      <w:marRight w:val="0"/>
      <w:marTop w:val="0"/>
      <w:marBottom w:val="0"/>
      <w:divBdr>
        <w:top w:val="none" w:sz="0" w:space="0" w:color="auto"/>
        <w:left w:val="none" w:sz="0" w:space="0" w:color="auto"/>
        <w:bottom w:val="none" w:sz="0" w:space="0" w:color="auto"/>
        <w:right w:val="none" w:sz="0" w:space="0" w:color="auto"/>
      </w:divBdr>
    </w:div>
    <w:div w:id="271910666">
      <w:bodyDiv w:val="1"/>
      <w:marLeft w:val="0"/>
      <w:marRight w:val="0"/>
      <w:marTop w:val="0"/>
      <w:marBottom w:val="0"/>
      <w:divBdr>
        <w:top w:val="none" w:sz="0" w:space="0" w:color="auto"/>
        <w:left w:val="none" w:sz="0" w:space="0" w:color="auto"/>
        <w:bottom w:val="none" w:sz="0" w:space="0" w:color="auto"/>
        <w:right w:val="none" w:sz="0" w:space="0" w:color="auto"/>
      </w:divBdr>
    </w:div>
    <w:div w:id="163501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bdc-tenant-satisfaction-measures-25-26-website</dc:title>
  <dc:subject>
  </dc:subject>
  <dc:creator>Sharon Duffield</dc:creator>
  <cp:keywords>
  </cp:keywords>
  <dc:description>
  </dc:description>
  <cp:lastModifiedBy>Niamh Lenihan</cp:lastModifiedBy>
  <cp:revision>3</cp:revision>
  <dcterms:created xsi:type="dcterms:W3CDTF">2026-06-22T12:55:00Z</dcterms:created>
  <dcterms:modified xsi:type="dcterms:W3CDTF">2026-06-22T14:03:22Z</dcterms:modified>
</cp:coreProperties>
</file>