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79B5" w:rsidR="00234831" w:rsidP="00234831" w:rsidRDefault="000279B5" w14:paraId="57626F9E" w14:textId="4811202C">
      <w:pPr>
        <w:jc w:val="both"/>
        <w:rPr>
          <w:rFonts w:ascii="Arial" w:hAnsi="Arial" w:cs="Arial"/>
          <w:b/>
          <w:bCs/>
          <w:color w:val="7030A0"/>
        </w:rPr>
      </w:pPr>
      <w:r w:rsidRPr="000279B5">
        <w:rPr>
          <w:rFonts w:ascii="Arial" w:hAnsi="Arial" w:cs="Arial"/>
          <w:b/>
          <w:bCs/>
          <w:color w:val="7030A0"/>
        </w:rPr>
        <w:t>LOCAL AREA PROFILE</w:t>
      </w:r>
    </w:p>
    <w:p w:rsidR="00234831" w:rsidP="00234831" w:rsidRDefault="00234831" w14:paraId="7660EEC4" w14:textId="77777777">
      <w:pPr>
        <w:jc w:val="both"/>
        <w:rPr>
          <w:rFonts w:ascii="Arial" w:hAnsi="Arial" w:cs="Arial"/>
          <w:b/>
          <w:bCs/>
        </w:rPr>
      </w:pPr>
    </w:p>
    <w:p w:rsidR="00234831" w:rsidP="00234831" w:rsidRDefault="00234831" w14:paraId="7FB4C465" w14:textId="77777777">
      <w:pPr>
        <w:jc w:val="both"/>
        <w:rPr>
          <w:rFonts w:ascii="Arial" w:hAnsi="Arial" w:cs="Arial"/>
          <w:bCs/>
        </w:rPr>
      </w:pPr>
      <w:bookmarkStart w:name="_Hlk171598630" w:id="0"/>
      <w:r w:rsidRPr="00225D32">
        <w:rPr>
          <w:rFonts w:ascii="Arial" w:hAnsi="Arial" w:cs="Arial"/>
          <w:bCs/>
        </w:rPr>
        <w:t>Broadland District Council is a 2</w:t>
      </w:r>
      <w:r w:rsidRPr="00225D32">
        <w:rPr>
          <w:rFonts w:ascii="Arial" w:hAnsi="Arial" w:cs="Arial"/>
          <w:bCs/>
          <w:vertAlign w:val="superscript"/>
        </w:rPr>
        <w:t>nd</w:t>
      </w:r>
      <w:r w:rsidRPr="00225D32">
        <w:rPr>
          <w:rFonts w:ascii="Arial" w:hAnsi="Arial" w:cs="Arial"/>
          <w:bCs/>
        </w:rPr>
        <w:t xml:space="preserve"> tier authority in the County of Norfolk which incorporates six other district councils and a county council.  </w:t>
      </w:r>
    </w:p>
    <w:bookmarkEnd w:id="0"/>
    <w:p w:rsidR="00234831" w:rsidP="00234831" w:rsidRDefault="00234831" w14:paraId="54DF45CF" w14:textId="77777777">
      <w:pPr>
        <w:jc w:val="both"/>
        <w:rPr>
          <w:rFonts w:ascii="Arial" w:hAnsi="Arial" w:cs="Arial"/>
          <w:bCs/>
        </w:rPr>
      </w:pPr>
    </w:p>
    <w:p w:rsidRPr="00225D32" w:rsidR="00234831" w:rsidP="00234831" w:rsidRDefault="00234831" w14:paraId="1485FE6D" w14:textId="77777777">
      <w:pPr>
        <w:jc w:val="both"/>
        <w:rPr>
          <w:rFonts w:ascii="Arial" w:hAnsi="Arial" w:cs="Arial"/>
          <w:bCs/>
        </w:rPr>
      </w:pPr>
      <w:r w:rsidRPr="00225D32">
        <w:rPr>
          <w:rFonts w:ascii="Arial" w:hAnsi="Arial" w:cs="Arial"/>
          <w:bCs/>
        </w:rPr>
        <w:t xml:space="preserve">Broadland </w:t>
      </w:r>
      <w:proofErr w:type="gramStart"/>
      <w:r w:rsidRPr="00225D32">
        <w:rPr>
          <w:rFonts w:ascii="Arial" w:hAnsi="Arial" w:cs="Arial"/>
          <w:bCs/>
        </w:rPr>
        <w:t>is located in</w:t>
      </w:r>
      <w:proofErr w:type="gramEnd"/>
      <w:r w:rsidRPr="00225D32">
        <w:rPr>
          <w:rFonts w:ascii="Arial" w:hAnsi="Arial" w:cs="Arial"/>
          <w:bCs/>
        </w:rPr>
        <w:t xml:space="preserve"> east/central Norfolk, to the east and north of the City of Norwich.  The </w:t>
      </w:r>
      <w:proofErr w:type="gramStart"/>
      <w:r w:rsidRPr="00225D32">
        <w:rPr>
          <w:rFonts w:ascii="Arial" w:hAnsi="Arial" w:cs="Arial"/>
          <w:bCs/>
        </w:rPr>
        <w:t>District</w:t>
      </w:r>
      <w:proofErr w:type="gramEnd"/>
      <w:r w:rsidRPr="00225D32">
        <w:rPr>
          <w:rFonts w:ascii="Arial" w:hAnsi="Arial" w:cs="Arial"/>
          <w:bCs/>
        </w:rPr>
        <w:t xml:space="preserve"> covers an area approximately 55,220 hect</w:t>
      </w:r>
      <w:r>
        <w:rPr>
          <w:rFonts w:ascii="Arial" w:hAnsi="Arial" w:cs="Arial"/>
          <w:bCs/>
        </w:rPr>
        <w:t>ar</w:t>
      </w:r>
      <w:r w:rsidRPr="00225D32">
        <w:rPr>
          <w:rFonts w:ascii="Arial" w:hAnsi="Arial" w:cs="Arial"/>
          <w:bCs/>
        </w:rPr>
        <w:t>es, is largely rural in nature but provides a residential dormitory hinterland bordering Norwich.  The rural areas are given over to arable and livestock farming and woodlands and plantations.</w:t>
      </w:r>
    </w:p>
    <w:p w:rsidR="00234831" w:rsidP="00234831" w:rsidRDefault="00234831" w14:paraId="737E6879" w14:textId="77777777">
      <w:pPr>
        <w:jc w:val="both"/>
        <w:rPr>
          <w:rFonts w:ascii="Arial" w:hAnsi="Arial" w:cs="Arial"/>
          <w:bCs/>
        </w:rPr>
      </w:pPr>
    </w:p>
    <w:p w:rsidRPr="00225D32" w:rsidR="00234831" w:rsidP="00234831" w:rsidRDefault="00234831" w14:paraId="537AD1BB" w14:textId="728890B8">
      <w:pPr>
        <w:jc w:val="both"/>
        <w:rPr>
          <w:rFonts w:ascii="Arial" w:hAnsi="Arial" w:cs="Arial"/>
          <w:bCs/>
        </w:rPr>
      </w:pPr>
      <w:r w:rsidRPr="00225D32">
        <w:rPr>
          <w:rFonts w:ascii="Arial" w:hAnsi="Arial" w:cs="Arial"/>
          <w:bCs/>
        </w:rPr>
        <w:t xml:space="preserve">The </w:t>
      </w:r>
      <w:r w:rsidR="00815027">
        <w:rPr>
          <w:rFonts w:ascii="Arial" w:hAnsi="Arial" w:cs="Arial"/>
          <w:bCs/>
        </w:rPr>
        <w:t>d</w:t>
      </w:r>
      <w:r w:rsidRPr="00225D32">
        <w:rPr>
          <w:rFonts w:ascii="Arial" w:hAnsi="Arial" w:cs="Arial"/>
          <w:bCs/>
        </w:rPr>
        <w:t>istrict has a population of 1</w:t>
      </w:r>
      <w:r w:rsidR="00815027">
        <w:rPr>
          <w:rFonts w:ascii="Arial" w:hAnsi="Arial" w:cs="Arial"/>
          <w:bCs/>
        </w:rPr>
        <w:t>31 700</w:t>
      </w:r>
      <w:r w:rsidRPr="00225D32">
        <w:rPr>
          <w:rFonts w:ascii="Arial" w:hAnsi="Arial" w:cs="Arial"/>
          <w:bCs/>
        </w:rPr>
        <w:t xml:space="preserve"> residents, located mainly in the nine parishes forming the eastern and no</w:t>
      </w:r>
      <w:r>
        <w:rPr>
          <w:rFonts w:ascii="Arial" w:hAnsi="Arial" w:cs="Arial"/>
          <w:bCs/>
        </w:rPr>
        <w:t>r</w:t>
      </w:r>
      <w:r w:rsidRPr="00225D32">
        <w:rPr>
          <w:rFonts w:ascii="Arial" w:hAnsi="Arial" w:cs="Arial"/>
          <w:bCs/>
        </w:rPr>
        <w:t xml:space="preserve">thern fringes of Norwich.  These expanding and developing suburban areas of the </w:t>
      </w:r>
      <w:r w:rsidR="00815027">
        <w:rPr>
          <w:rFonts w:ascii="Arial" w:hAnsi="Arial" w:cs="Arial"/>
          <w:bCs/>
        </w:rPr>
        <w:t>d</w:t>
      </w:r>
      <w:r w:rsidRPr="00225D32">
        <w:rPr>
          <w:rFonts w:ascii="Arial" w:hAnsi="Arial" w:cs="Arial"/>
          <w:bCs/>
        </w:rPr>
        <w:t xml:space="preserve">istrict are predominately residential interspersed with </w:t>
      </w:r>
      <w:proofErr w:type="gramStart"/>
      <w:r w:rsidRPr="00225D32">
        <w:rPr>
          <w:rFonts w:ascii="Arial" w:hAnsi="Arial" w:cs="Arial"/>
          <w:bCs/>
        </w:rPr>
        <w:t>out of town</w:t>
      </w:r>
      <w:proofErr w:type="gramEnd"/>
      <w:r w:rsidRPr="00225D32">
        <w:rPr>
          <w:rFonts w:ascii="Arial" w:hAnsi="Arial" w:cs="Arial"/>
          <w:bCs/>
        </w:rPr>
        <w:t xml:space="preserve"> shopping and business parks which are key to the economy of the </w:t>
      </w:r>
      <w:r w:rsidR="00815027">
        <w:rPr>
          <w:rFonts w:ascii="Arial" w:hAnsi="Arial" w:cs="Arial"/>
          <w:bCs/>
        </w:rPr>
        <w:t>d</w:t>
      </w:r>
      <w:r w:rsidRPr="00225D32">
        <w:rPr>
          <w:rFonts w:ascii="Arial" w:hAnsi="Arial" w:cs="Arial"/>
          <w:bCs/>
        </w:rPr>
        <w:t xml:space="preserve">istrict together with seasonal tourism, agriculture and agricultural support activities.  Population is also centred on the three principal market towns of Acle, </w:t>
      </w:r>
      <w:proofErr w:type="spellStart"/>
      <w:r w:rsidRPr="00225D32">
        <w:rPr>
          <w:rFonts w:ascii="Arial" w:hAnsi="Arial" w:cs="Arial"/>
          <w:bCs/>
        </w:rPr>
        <w:t>Reepham</w:t>
      </w:r>
      <w:proofErr w:type="spellEnd"/>
      <w:r w:rsidRPr="00225D32">
        <w:rPr>
          <w:rFonts w:ascii="Arial" w:hAnsi="Arial" w:cs="Arial"/>
          <w:bCs/>
        </w:rPr>
        <w:t xml:space="preserve"> and Aylsham.  A map of the Broadland District is </w:t>
      </w:r>
      <w:r>
        <w:rPr>
          <w:rFonts w:ascii="Arial" w:hAnsi="Arial" w:cs="Arial"/>
          <w:bCs/>
        </w:rPr>
        <w:t xml:space="preserve">below.  </w:t>
      </w:r>
    </w:p>
    <w:p w:rsidRPr="00225D32" w:rsidR="00234831" w:rsidP="00234831" w:rsidRDefault="00234831" w14:paraId="29CCE2CE" w14:textId="77777777">
      <w:pPr>
        <w:jc w:val="both"/>
        <w:rPr>
          <w:rFonts w:ascii="Arial" w:hAnsi="Arial" w:cs="Arial"/>
          <w:bCs/>
        </w:rPr>
      </w:pPr>
    </w:p>
    <w:p w:rsidRPr="005865B1" w:rsidR="00815027" w:rsidP="00815027" w:rsidRDefault="00815027" w14:paraId="2C442AD6" w14:textId="54CD203A">
      <w:pPr>
        <w:jc w:val="both"/>
        <w:rPr>
          <w:rFonts w:ascii="Arial" w:hAnsi="Arial" w:cs="Arial"/>
          <w:bCs/>
        </w:rPr>
      </w:pPr>
      <w:r w:rsidRPr="005865B1">
        <w:rPr>
          <w:rFonts w:ascii="Arial" w:hAnsi="Arial" w:cs="Arial"/>
          <w:bCs/>
        </w:rPr>
        <w:t xml:space="preserve">Gambling activities within Broadland currently consist of </w:t>
      </w:r>
      <w:r w:rsidR="00D3038E">
        <w:rPr>
          <w:rFonts w:ascii="Arial" w:hAnsi="Arial" w:cs="Arial"/>
          <w:bCs/>
        </w:rPr>
        <w:t>2</w:t>
      </w:r>
      <w:r w:rsidRPr="005865B1">
        <w:rPr>
          <w:rFonts w:ascii="Arial" w:hAnsi="Arial" w:cs="Arial"/>
          <w:bCs/>
        </w:rPr>
        <w:t xml:space="preserve"> betting shops, </w:t>
      </w:r>
      <w:r w:rsidR="00D3038E">
        <w:rPr>
          <w:rFonts w:ascii="Arial" w:hAnsi="Arial" w:cs="Arial"/>
          <w:bCs/>
        </w:rPr>
        <w:t>1</w:t>
      </w:r>
      <w:r w:rsidRPr="005865B1">
        <w:rPr>
          <w:rFonts w:ascii="Arial" w:hAnsi="Arial" w:cs="Arial"/>
          <w:bCs/>
        </w:rPr>
        <w:t xml:space="preserve"> unlicensed family entertainment centres and a total of </w:t>
      </w:r>
      <w:r w:rsidR="00D3038E">
        <w:rPr>
          <w:rFonts w:ascii="Arial" w:hAnsi="Arial" w:cs="Arial"/>
          <w:bCs/>
        </w:rPr>
        <w:t>51</w:t>
      </w:r>
      <w:r w:rsidRPr="005865B1">
        <w:rPr>
          <w:rFonts w:ascii="Arial" w:hAnsi="Arial" w:cs="Arial"/>
          <w:bCs/>
        </w:rPr>
        <w:t xml:space="preserve"> premises with a premises licence authorising the sale of alcohol where gaming machines have been provided by way of notification or permit. There are </w:t>
      </w:r>
      <w:r w:rsidR="00D3038E">
        <w:rPr>
          <w:rFonts w:ascii="Arial" w:hAnsi="Arial" w:cs="Arial"/>
          <w:bCs/>
        </w:rPr>
        <w:t>10</w:t>
      </w:r>
      <w:r w:rsidRPr="005865B1">
        <w:rPr>
          <w:rFonts w:ascii="Arial" w:hAnsi="Arial" w:cs="Arial"/>
          <w:bCs/>
        </w:rPr>
        <w:t xml:space="preserve"> clubs that hold club machine/gaming permits and there are </w:t>
      </w:r>
      <w:r w:rsidR="00D3038E">
        <w:rPr>
          <w:rFonts w:ascii="Arial" w:hAnsi="Arial" w:cs="Arial"/>
          <w:bCs/>
        </w:rPr>
        <w:t>139</w:t>
      </w:r>
      <w:r w:rsidRPr="005865B1">
        <w:rPr>
          <w:rFonts w:ascii="Arial" w:hAnsi="Arial" w:cs="Arial"/>
          <w:bCs/>
        </w:rPr>
        <w:t xml:space="preserve"> society lotteries registered</w:t>
      </w:r>
      <w:r>
        <w:rPr>
          <w:rFonts w:ascii="Arial" w:hAnsi="Arial" w:cs="Arial"/>
          <w:bCs/>
        </w:rPr>
        <w:t>.</w:t>
      </w:r>
    </w:p>
    <w:p w:rsidR="00815027" w:rsidP="00234831" w:rsidRDefault="00815027" w14:paraId="0B5FB289" w14:textId="77777777">
      <w:pPr>
        <w:jc w:val="both"/>
        <w:rPr>
          <w:rFonts w:ascii="Arial" w:hAnsi="Arial" w:cs="Arial"/>
          <w:bCs/>
        </w:rPr>
      </w:pPr>
    </w:p>
    <w:p w:rsidRPr="00D962B3" w:rsidR="000279B5" w:rsidP="000279B5" w:rsidRDefault="000279B5" w14:paraId="3634B2DF" w14:textId="680BBB29">
      <w:pPr>
        <w:jc w:val="both"/>
        <w:rPr>
          <w:rFonts w:ascii="Arial" w:hAnsi="Arial" w:cs="Arial"/>
        </w:rPr>
      </w:pPr>
      <w:r w:rsidRPr="00D962B3">
        <w:rPr>
          <w:rFonts w:ascii="Arial" w:hAnsi="Arial" w:cs="Arial"/>
        </w:rPr>
        <w:t xml:space="preserve">Currently it is not felt that there are any significant concerns relating to gambling premises within the </w:t>
      </w:r>
      <w:r>
        <w:rPr>
          <w:rFonts w:ascii="Arial" w:hAnsi="Arial" w:cs="Arial"/>
        </w:rPr>
        <w:t>Broadland</w:t>
      </w:r>
      <w:r w:rsidRPr="00D962B3">
        <w:rPr>
          <w:rFonts w:ascii="Arial" w:hAnsi="Arial" w:cs="Arial"/>
        </w:rPr>
        <w:t xml:space="preserve"> district.</w:t>
      </w:r>
    </w:p>
    <w:p w:rsidRPr="00D962B3" w:rsidR="000279B5" w:rsidP="000279B5" w:rsidRDefault="000279B5" w14:paraId="1EBED3E1" w14:textId="77777777">
      <w:pPr>
        <w:jc w:val="both"/>
        <w:rPr>
          <w:rFonts w:ascii="Arial" w:hAnsi="Arial" w:cs="Arial"/>
        </w:rPr>
      </w:pPr>
    </w:p>
    <w:p w:rsidRPr="00D962B3" w:rsidR="000279B5" w:rsidP="000279B5" w:rsidRDefault="000279B5" w14:paraId="19D3216D" w14:textId="77777777">
      <w:pPr>
        <w:jc w:val="both"/>
        <w:rPr>
          <w:rFonts w:ascii="Arial" w:hAnsi="Arial" w:cs="Arial"/>
        </w:rPr>
      </w:pPr>
      <w:r w:rsidRPr="00D962B3">
        <w:rPr>
          <w:rFonts w:ascii="Arial" w:hAnsi="Arial" w:cs="Arial"/>
        </w:rPr>
        <w:t xml:space="preserve">The Council appreciates the potential risks from gambling activities in relation to young and vulnerable persons therefore operators and applicants should take the following factors into consideration when submitting applications and compiling </w:t>
      </w:r>
      <w:proofErr w:type="gramStart"/>
      <w:r w:rsidRPr="00D962B3">
        <w:rPr>
          <w:rFonts w:ascii="Arial" w:hAnsi="Arial" w:cs="Arial"/>
        </w:rPr>
        <w:t>premises based</w:t>
      </w:r>
      <w:proofErr w:type="gramEnd"/>
      <w:r w:rsidRPr="00D962B3">
        <w:rPr>
          <w:rFonts w:ascii="Arial" w:hAnsi="Arial" w:cs="Arial"/>
        </w:rPr>
        <w:t xml:space="preserve"> risk assessments.</w:t>
      </w:r>
    </w:p>
    <w:p w:rsidRPr="00D962B3" w:rsidR="000279B5" w:rsidP="000279B5" w:rsidRDefault="000279B5" w14:paraId="53B61F66" w14:textId="77777777">
      <w:pPr>
        <w:jc w:val="both"/>
        <w:rPr>
          <w:rFonts w:ascii="Arial" w:hAnsi="Arial" w:cs="Arial"/>
        </w:rPr>
      </w:pPr>
    </w:p>
    <w:p w:rsidRPr="00676A3C" w:rsidR="000279B5" w:rsidP="000279B5" w:rsidRDefault="000279B5" w14:paraId="25CB0BA5" w14:textId="77777777">
      <w:pPr>
        <w:widowControl/>
        <w:numPr>
          <w:ilvl w:val="0"/>
          <w:numId w:val="1"/>
        </w:numPr>
        <w:overflowPunct w:val="0"/>
        <w:autoSpaceDE/>
        <w:autoSpaceDN/>
        <w:adjustRightInd/>
        <w:contextualSpacing/>
        <w:jc w:val="both"/>
        <w:textAlignment w:val="baseline"/>
        <w:rPr>
          <w:rFonts w:ascii="Arial" w:hAnsi="Arial" w:cs="Arial"/>
          <w:lang w:eastAsia="en-US"/>
        </w:rPr>
      </w:pPr>
      <w:bookmarkStart w:name="_Hlk170396421" w:id="1"/>
      <w:r w:rsidRPr="00676A3C">
        <w:rPr>
          <w:rFonts w:ascii="Arial" w:hAnsi="Arial" w:cs="Arial"/>
          <w:lang w:eastAsia="en-US"/>
        </w:rPr>
        <w:t xml:space="preserve">Temporary accommodation for homeless persons </w:t>
      </w:r>
      <w:proofErr w:type="gramStart"/>
      <w:r w:rsidRPr="00676A3C">
        <w:rPr>
          <w:rFonts w:ascii="Arial" w:hAnsi="Arial" w:cs="Arial"/>
          <w:lang w:eastAsia="en-US"/>
        </w:rPr>
        <w:t>are</w:t>
      </w:r>
      <w:proofErr w:type="gramEnd"/>
      <w:r w:rsidRPr="00676A3C">
        <w:rPr>
          <w:rFonts w:ascii="Arial" w:hAnsi="Arial" w:cs="Arial"/>
          <w:lang w:eastAsia="en-US"/>
        </w:rPr>
        <w:t xml:space="preserve"> located in </w:t>
      </w:r>
      <w:proofErr w:type="spellStart"/>
      <w:r>
        <w:rPr>
          <w:rFonts w:ascii="Arial" w:hAnsi="Arial" w:cs="Arial"/>
          <w:lang w:eastAsia="en-US"/>
        </w:rPr>
        <w:t>Blofield</w:t>
      </w:r>
      <w:proofErr w:type="spellEnd"/>
      <w:r>
        <w:rPr>
          <w:rFonts w:ascii="Arial" w:hAnsi="Arial" w:cs="Arial"/>
          <w:lang w:eastAsia="en-US"/>
        </w:rPr>
        <w:t xml:space="preserve">, </w:t>
      </w:r>
      <w:proofErr w:type="spellStart"/>
      <w:r>
        <w:rPr>
          <w:rFonts w:ascii="Arial" w:hAnsi="Arial" w:cs="Arial"/>
          <w:lang w:eastAsia="en-US"/>
        </w:rPr>
        <w:t>Dussindale</w:t>
      </w:r>
      <w:proofErr w:type="spellEnd"/>
      <w:r>
        <w:rPr>
          <w:rFonts w:ascii="Arial" w:hAnsi="Arial" w:cs="Arial"/>
          <w:lang w:eastAsia="en-US"/>
        </w:rPr>
        <w:t xml:space="preserve"> and Sprowston.</w:t>
      </w:r>
    </w:p>
    <w:p w:rsidRPr="00D962B3" w:rsidR="000279B5" w:rsidP="000279B5" w:rsidRDefault="000279B5" w14:paraId="726027D5" w14:textId="77777777">
      <w:pPr>
        <w:widowControl/>
        <w:numPr>
          <w:ilvl w:val="0"/>
          <w:numId w:val="1"/>
        </w:numPr>
        <w:overflowPunct w:val="0"/>
        <w:autoSpaceDE/>
        <w:autoSpaceDN/>
        <w:adjustRightInd/>
        <w:contextualSpacing/>
        <w:jc w:val="both"/>
        <w:textAlignment w:val="baseline"/>
        <w:rPr>
          <w:rFonts w:ascii="Arial" w:hAnsi="Arial" w:cs="Arial"/>
          <w:lang w:eastAsia="en-US"/>
        </w:rPr>
      </w:pPr>
      <w:r w:rsidRPr="00D962B3">
        <w:rPr>
          <w:rFonts w:ascii="Arial" w:hAnsi="Arial" w:cs="Arial"/>
          <w:lang w:eastAsia="en-US"/>
        </w:rPr>
        <w:t xml:space="preserve">Providers of care for those suffering with mental health issues can be found through </w:t>
      </w:r>
      <w:hyperlink w:history="1" r:id="rId5">
        <w:r w:rsidRPr="00D962B3">
          <w:rPr>
            <w:rStyle w:val="Hyperlink"/>
            <w:rFonts w:ascii="Arial" w:hAnsi="Arial" w:cs="Arial"/>
            <w:lang w:eastAsia="en-US"/>
          </w:rPr>
          <w:t>Norfolk County Council</w:t>
        </w:r>
      </w:hyperlink>
      <w:r w:rsidRPr="00D962B3">
        <w:rPr>
          <w:rFonts w:ascii="Arial" w:hAnsi="Arial" w:cs="Arial"/>
          <w:lang w:eastAsia="en-US"/>
        </w:rPr>
        <w:t>.</w:t>
      </w:r>
    </w:p>
    <w:bookmarkEnd w:id="1"/>
    <w:p w:rsidRPr="00D962B3" w:rsidR="000279B5" w:rsidP="000279B5" w:rsidRDefault="000279B5" w14:paraId="6DE51681" w14:textId="77777777">
      <w:pPr>
        <w:pStyle w:val="ListParagraph"/>
        <w:numPr>
          <w:ilvl w:val="0"/>
          <w:numId w:val="1"/>
        </w:numPr>
        <w:jc w:val="both"/>
        <w:rPr>
          <w:sz w:val="24"/>
        </w:rPr>
      </w:pPr>
      <w:r w:rsidRPr="00D962B3">
        <w:rPr>
          <w:sz w:val="24"/>
        </w:rPr>
        <w:t xml:space="preserve">Clearly there are </w:t>
      </w:r>
      <w:proofErr w:type="gramStart"/>
      <w:r w:rsidRPr="00D962B3">
        <w:rPr>
          <w:sz w:val="24"/>
        </w:rPr>
        <w:t>a number of</w:t>
      </w:r>
      <w:proofErr w:type="gramEnd"/>
      <w:r w:rsidRPr="00D962B3">
        <w:rPr>
          <w:sz w:val="24"/>
        </w:rPr>
        <w:t xml:space="preserve"> schools within the district, the Council would expect licence holders and applicants to take their location into consideration and ensure measures are in place to address advertising of gambling premises that may affect young persons.</w:t>
      </w:r>
    </w:p>
    <w:p w:rsidRPr="00D962B3" w:rsidR="000279B5" w:rsidP="000279B5" w:rsidRDefault="000279B5" w14:paraId="089D4415" w14:textId="77777777">
      <w:pPr>
        <w:jc w:val="both"/>
        <w:rPr>
          <w:rFonts w:ascii="Arial" w:hAnsi="Arial" w:cs="Arial"/>
        </w:rPr>
      </w:pPr>
    </w:p>
    <w:p w:rsidRPr="00D962B3" w:rsidR="000279B5" w:rsidP="000279B5" w:rsidRDefault="000279B5" w14:paraId="14499ECA" w14:textId="77777777">
      <w:pPr>
        <w:jc w:val="both"/>
        <w:rPr>
          <w:rFonts w:ascii="Arial" w:hAnsi="Arial" w:cs="Arial"/>
        </w:rPr>
      </w:pPr>
      <w:r w:rsidRPr="00D962B3">
        <w:rPr>
          <w:rFonts w:ascii="Arial" w:hAnsi="Arial" w:cs="Arial"/>
        </w:rPr>
        <w:t xml:space="preserve">Any new gambling proposals which </w:t>
      </w:r>
      <w:proofErr w:type="gramStart"/>
      <w:r w:rsidRPr="00D962B3">
        <w:rPr>
          <w:rFonts w:ascii="Arial" w:hAnsi="Arial" w:cs="Arial"/>
        </w:rPr>
        <w:t>seeks</w:t>
      </w:r>
      <w:proofErr w:type="gramEnd"/>
      <w:r w:rsidRPr="00D962B3">
        <w:rPr>
          <w:rFonts w:ascii="Arial" w:hAnsi="Arial" w:cs="Arial"/>
        </w:rPr>
        <w:t xml:space="preserve"> to intensify gambling activities will be carefully considered and reviewed to ensure it does not significantly alter, adversely affect or otherwise impact upon the current level of gambling activity across the district.</w:t>
      </w:r>
    </w:p>
    <w:p w:rsidR="00234831" w:rsidP="00234831" w:rsidRDefault="00234831" w14:paraId="2BE974DD" w14:textId="77777777">
      <w:pPr>
        <w:jc w:val="both"/>
      </w:pPr>
    </w:p>
    <w:p w:rsidR="000279B5" w:rsidP="00234831" w:rsidRDefault="000279B5" w14:paraId="51A68711" w14:textId="77777777">
      <w:pPr>
        <w:jc w:val="both"/>
      </w:pPr>
    </w:p>
    <w:p w:rsidR="000279B5" w:rsidP="00234831" w:rsidRDefault="000279B5" w14:paraId="7E87FFE2" w14:textId="77777777">
      <w:pPr>
        <w:jc w:val="both"/>
      </w:pPr>
    </w:p>
    <w:p w:rsidR="000279B5" w:rsidP="00234831" w:rsidRDefault="000279B5" w14:paraId="6DE18453" w14:textId="77777777">
      <w:pPr>
        <w:jc w:val="both"/>
      </w:pPr>
    </w:p>
    <w:p w:rsidR="000279B5" w:rsidP="00234831" w:rsidRDefault="000279B5" w14:paraId="7B1AE1C4" w14:textId="77777777">
      <w:pPr>
        <w:jc w:val="both"/>
      </w:pPr>
    </w:p>
    <w:p w:rsidR="000279B5" w:rsidP="00234831" w:rsidRDefault="000279B5" w14:paraId="1FA23842" w14:textId="77777777">
      <w:pPr>
        <w:jc w:val="both"/>
      </w:pPr>
    </w:p>
    <w:p w:rsidR="00234831" w:rsidP="00234831" w:rsidRDefault="00C667DD" w14:paraId="2D70D5B7" w14:textId="203C3A5A">
      <w:pPr>
        <w:ind w:right="-334"/>
        <w:jc w:val="both"/>
        <w:rPr>
          <w:rFonts w:ascii="Arial" w:hAnsi="Arial"/>
          <w:b/>
          <w:bCs/>
          <w:color w:val="7030A0"/>
        </w:rPr>
      </w:pPr>
      <w:r w:rsidRPr="00C667DD">
        <w:rPr>
          <w:rFonts w:ascii="Arial" w:hAnsi="Arial"/>
          <w:b/>
          <w:bCs/>
          <w:color w:val="7030A0"/>
        </w:rPr>
        <w:lastRenderedPageBreak/>
        <w:t>AREA MAP</w:t>
      </w:r>
    </w:p>
    <w:p w:rsidRPr="00C667DD" w:rsidR="00C667DD" w:rsidP="00234831" w:rsidRDefault="00C667DD" w14:paraId="647610C6" w14:textId="77777777">
      <w:pPr>
        <w:ind w:right="-334"/>
        <w:jc w:val="both"/>
        <w:rPr>
          <w:rFonts w:ascii="Arial" w:hAnsi="Arial"/>
          <w:b/>
          <w:bCs/>
          <w:color w:val="7030A0"/>
        </w:rPr>
      </w:pPr>
    </w:p>
    <w:p w:rsidR="00234831" w:rsidP="00234831" w:rsidRDefault="00234831" w14:paraId="5CC38C7E" w14:textId="77777777">
      <w:pPr>
        <w:ind w:right="-334"/>
        <w:jc w:val="both"/>
        <w:rPr>
          <w:rFonts w:ascii="Arial" w:hAnsi="Arial"/>
          <w:sz w:val="22"/>
          <w:szCs w:val="22"/>
        </w:rPr>
      </w:pPr>
      <w:r w:rsidRPr="008A77E7">
        <w:rPr>
          <w:rFonts w:ascii="Arial" w:hAnsi="Arial"/>
          <w:noProof/>
          <w:sz w:val="22"/>
          <w:szCs w:val="22"/>
        </w:rPr>
        <w:drawing>
          <wp:inline distT="0" distB="0" distL="0" distR="0" wp14:anchorId="57B06166" wp14:editId="1F801B09">
            <wp:extent cx="2000250" cy="2165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165350"/>
                    </a:xfrm>
                    <a:prstGeom prst="rect">
                      <a:avLst/>
                    </a:prstGeom>
                    <a:noFill/>
                    <a:ln>
                      <a:noFill/>
                    </a:ln>
                  </pic:spPr>
                </pic:pic>
              </a:graphicData>
            </a:graphic>
          </wp:inline>
        </w:drawing>
      </w:r>
    </w:p>
    <w:p w:rsidR="00C667DD" w:rsidP="00234831" w:rsidRDefault="00C667DD" w14:paraId="01430E11" w14:textId="77777777">
      <w:pPr>
        <w:ind w:right="-334"/>
        <w:jc w:val="both"/>
        <w:rPr>
          <w:rFonts w:ascii="Arial" w:hAnsi="Arial"/>
          <w:sz w:val="22"/>
          <w:szCs w:val="22"/>
        </w:rPr>
      </w:pPr>
    </w:p>
    <w:p w:rsidR="00C667DD" w:rsidP="00234831" w:rsidRDefault="00C667DD" w14:paraId="2198D547" w14:textId="77777777">
      <w:pPr>
        <w:ind w:right="-334"/>
        <w:jc w:val="both"/>
        <w:rPr>
          <w:rFonts w:ascii="Arial" w:hAnsi="Arial"/>
          <w:sz w:val="22"/>
          <w:szCs w:val="22"/>
        </w:rPr>
      </w:pPr>
    </w:p>
    <w:p w:rsidR="00C667DD" w:rsidP="00234831" w:rsidRDefault="00C667DD" w14:paraId="0D8EC236" w14:textId="77777777">
      <w:pPr>
        <w:ind w:right="-334"/>
        <w:jc w:val="both"/>
        <w:rPr>
          <w:rFonts w:ascii="Arial" w:hAnsi="Arial"/>
          <w:sz w:val="22"/>
          <w:szCs w:val="22"/>
        </w:rPr>
      </w:pPr>
    </w:p>
    <w:p w:rsidR="00C667DD" w:rsidP="00234831" w:rsidRDefault="00C667DD" w14:paraId="4FBFFF03" w14:textId="77777777">
      <w:pPr>
        <w:ind w:right="-334"/>
        <w:jc w:val="both"/>
        <w:rPr>
          <w:rFonts w:ascii="Arial" w:hAnsi="Arial"/>
          <w:sz w:val="22"/>
          <w:szCs w:val="22"/>
        </w:rPr>
      </w:pPr>
    </w:p>
    <w:p w:rsidR="009F4A2F" w:rsidP="00234831" w:rsidRDefault="00234831" w14:paraId="54F1B4C2" w14:textId="5ABEFF35">
      <w:r w:rsidRPr="008A77E7">
        <w:rPr>
          <w:rFonts w:ascii="Arial" w:hAnsi="Arial"/>
          <w:noProof/>
          <w:sz w:val="22"/>
          <w:szCs w:val="22"/>
        </w:rPr>
        <w:drawing>
          <wp:inline distT="0" distB="0" distL="0" distR="0" wp14:anchorId="12B4B88C" wp14:editId="518CBECA">
            <wp:extent cx="44259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5950" cy="2819400"/>
                    </a:xfrm>
                    <a:prstGeom prst="rect">
                      <a:avLst/>
                    </a:prstGeom>
                    <a:noFill/>
                    <a:ln>
                      <a:noFill/>
                    </a:ln>
                  </pic:spPr>
                </pic:pic>
              </a:graphicData>
            </a:graphic>
          </wp:inline>
        </w:drawing>
      </w:r>
    </w:p>
    <w:sectPr w:rsidR="009F4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4411"/>
    <w:multiLevelType w:val="hybridMultilevel"/>
    <w:tmpl w:val="2B58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08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31"/>
    <w:rsid w:val="000279B5"/>
    <w:rsid w:val="00234831"/>
    <w:rsid w:val="00815027"/>
    <w:rsid w:val="009F4A2F"/>
    <w:rsid w:val="00C667DD"/>
    <w:rsid w:val="00D30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3084"/>
  <w15:chartTrackingRefBased/>
  <w15:docId w15:val="{78414F43-4E95-4E70-B7E9-450E9A2D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31"/>
    <w:pPr>
      <w:widowControl w:val="0"/>
      <w:autoSpaceDE w:val="0"/>
      <w:autoSpaceDN w:val="0"/>
      <w:adjustRightInd w:val="0"/>
      <w:spacing w:after="0" w:line="240" w:lineRule="auto"/>
    </w:pPr>
    <w:rPr>
      <w:rFonts w:ascii="Arial Narrow" w:eastAsia="Times New Roman" w:hAnsi="Arial Narrow"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4831"/>
    <w:pPr>
      <w:widowControl/>
      <w:autoSpaceDE/>
      <w:autoSpaceDN/>
      <w:adjustRightInd/>
    </w:pPr>
    <w:rPr>
      <w:rFonts w:ascii="Arial" w:hAnsi="Arial" w:cs="Arial"/>
      <w:sz w:val="72"/>
      <w:lang w:eastAsia="en-US"/>
    </w:rPr>
  </w:style>
  <w:style w:type="character" w:customStyle="1" w:styleId="BodyTextChar">
    <w:name w:val="Body Text Char"/>
    <w:basedOn w:val="DefaultParagraphFont"/>
    <w:link w:val="BodyText"/>
    <w:rsid w:val="00234831"/>
    <w:rPr>
      <w:rFonts w:ascii="Arial" w:eastAsia="Times New Roman" w:hAnsi="Arial" w:cs="Arial"/>
      <w:kern w:val="0"/>
      <w:sz w:val="72"/>
      <w:szCs w:val="24"/>
      <w14:ligatures w14:val="none"/>
    </w:rPr>
  </w:style>
  <w:style w:type="paragraph" w:styleId="ListParagraph">
    <w:name w:val="List Paragraph"/>
    <w:basedOn w:val="Normal"/>
    <w:uiPriority w:val="34"/>
    <w:qFormat/>
    <w:rsid w:val="000279B5"/>
    <w:pPr>
      <w:widowControl/>
      <w:autoSpaceDE/>
      <w:autoSpaceDN/>
      <w:adjustRightInd/>
      <w:ind w:left="720"/>
      <w:contextualSpacing/>
    </w:pPr>
    <w:rPr>
      <w:rFonts w:ascii="Arial" w:hAnsi="Arial" w:cs="Arial"/>
      <w:sz w:val="22"/>
      <w:lang w:eastAsia="en-US"/>
    </w:rPr>
  </w:style>
  <w:style w:type="character" w:styleId="Hyperlink">
    <w:name w:val="Hyperlink"/>
    <w:rsid w:val="00027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orfolk.gov.uk/article/41757/Health-and-wellbe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 Local Area Profile</dc:title>
  <dc:subject>
  </dc:subject>
  <dc:creator>Sarah Harris</dc:creator>
  <cp:keywords>
  </cp:keywords>
  <dc:description>
  </dc:description>
  <cp:lastModifiedBy>Amanda Cox</cp:lastModifiedBy>
  <cp:revision>2</cp:revision>
  <dcterms:created xsi:type="dcterms:W3CDTF">2024-07-31T11:34:00Z</dcterms:created>
  <dcterms:modified xsi:type="dcterms:W3CDTF">2025-06-20T12:22:09Z</dcterms:modified>
</cp:coreProperties>
</file>