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36A42" w:rsidR="00C027B6" w:rsidP="00C027B6" w:rsidRDefault="00390582" w14:paraId="748158D3" w14:textId="5E26E85B">
      <w:pPr>
        <w:spacing w:after="0" w:line="240" w:lineRule="auto"/>
        <w:contextualSpacing/>
        <w:outlineLvl w:val="1"/>
        <w:rPr>
          <w:rFonts w:ascii="Arial" w:hAnsi="Arial" w:eastAsia="Times New Roman" w:cs="Arial"/>
          <w:b/>
          <w:sz w:val="24"/>
          <w:szCs w:val="24"/>
          <w:lang w:eastAsia="en-GB"/>
        </w:rPr>
      </w:pPr>
      <w:r>
        <w:rPr>
          <w:rFonts w:ascii="Arial" w:hAnsi="Arial" w:eastAsia="Times New Roman" w:cs="Arial"/>
          <w:b/>
          <w:sz w:val="24"/>
          <w:szCs w:val="24"/>
          <w:lang w:eastAsia="en-GB"/>
        </w:rPr>
        <w:t xml:space="preserve">Broadland District Council </w:t>
      </w:r>
      <w:r w:rsidRPr="00C36A42" w:rsidR="00C027B6">
        <w:rPr>
          <w:rFonts w:ascii="Arial" w:hAnsi="Arial" w:eastAsia="Times New Roman" w:cs="Arial"/>
          <w:b/>
          <w:sz w:val="24"/>
          <w:szCs w:val="24"/>
          <w:lang w:eastAsia="en-GB"/>
        </w:rPr>
        <w:t xml:space="preserve">Community Infrastructure Levy (CIL) </w:t>
      </w:r>
      <w:r w:rsidRPr="00C36A42" w:rsidR="00E04D1D">
        <w:rPr>
          <w:rFonts w:ascii="Arial" w:hAnsi="Arial" w:eastAsia="Times New Roman" w:cs="Arial"/>
          <w:b/>
          <w:sz w:val="24"/>
          <w:szCs w:val="24"/>
          <w:lang w:eastAsia="en-GB"/>
        </w:rPr>
        <w:t xml:space="preserve">Annual Infrastructure Funding statement </w:t>
      </w:r>
      <w:r w:rsidRPr="00C36A42" w:rsidR="00C027B6">
        <w:rPr>
          <w:rFonts w:ascii="Arial" w:hAnsi="Arial" w:eastAsia="Times New Roman" w:cs="Arial"/>
          <w:b/>
          <w:sz w:val="24"/>
          <w:szCs w:val="24"/>
          <w:lang w:eastAsia="en-GB"/>
        </w:rPr>
        <w:t>for 1</w:t>
      </w:r>
      <w:r w:rsidRPr="00C36A42" w:rsidR="00C027B6">
        <w:rPr>
          <w:rFonts w:ascii="Arial" w:hAnsi="Arial" w:eastAsia="Times New Roman" w:cs="Arial"/>
          <w:b/>
          <w:sz w:val="24"/>
          <w:szCs w:val="24"/>
          <w:vertAlign w:val="superscript"/>
          <w:lang w:eastAsia="en-GB"/>
        </w:rPr>
        <w:t>st</w:t>
      </w:r>
      <w:r w:rsidRPr="00C36A42" w:rsidR="00C027B6">
        <w:rPr>
          <w:rFonts w:ascii="Arial" w:hAnsi="Arial" w:eastAsia="Times New Roman" w:cs="Arial"/>
          <w:b/>
          <w:sz w:val="24"/>
          <w:szCs w:val="24"/>
          <w:lang w:eastAsia="en-GB"/>
        </w:rPr>
        <w:t xml:space="preserve"> April 20</w:t>
      </w:r>
      <w:r w:rsidR="001B7AFB">
        <w:rPr>
          <w:rFonts w:ascii="Arial" w:hAnsi="Arial" w:eastAsia="Times New Roman" w:cs="Arial"/>
          <w:b/>
          <w:sz w:val="24"/>
          <w:szCs w:val="24"/>
          <w:lang w:eastAsia="en-GB"/>
        </w:rPr>
        <w:t>2</w:t>
      </w:r>
      <w:r w:rsidR="00243037">
        <w:rPr>
          <w:rFonts w:ascii="Arial" w:hAnsi="Arial" w:eastAsia="Times New Roman" w:cs="Arial"/>
          <w:b/>
          <w:sz w:val="24"/>
          <w:szCs w:val="24"/>
          <w:lang w:eastAsia="en-GB"/>
        </w:rPr>
        <w:t>4</w:t>
      </w:r>
      <w:r w:rsidRPr="00C36A42" w:rsidR="00C027B6">
        <w:rPr>
          <w:rFonts w:ascii="Arial" w:hAnsi="Arial" w:eastAsia="Times New Roman" w:cs="Arial"/>
          <w:b/>
          <w:sz w:val="24"/>
          <w:szCs w:val="24"/>
          <w:lang w:eastAsia="en-GB"/>
        </w:rPr>
        <w:t xml:space="preserve"> to 31</w:t>
      </w:r>
      <w:r w:rsidRPr="00C36A42" w:rsidR="00C027B6">
        <w:rPr>
          <w:rFonts w:ascii="Arial" w:hAnsi="Arial" w:eastAsia="Times New Roman" w:cs="Arial"/>
          <w:b/>
          <w:sz w:val="24"/>
          <w:szCs w:val="24"/>
          <w:vertAlign w:val="superscript"/>
          <w:lang w:eastAsia="en-GB"/>
        </w:rPr>
        <w:t>st</w:t>
      </w:r>
      <w:r w:rsidRPr="00C36A42" w:rsidR="00C027B6">
        <w:rPr>
          <w:rFonts w:ascii="Arial" w:hAnsi="Arial" w:eastAsia="Times New Roman" w:cs="Arial"/>
          <w:b/>
          <w:sz w:val="24"/>
          <w:szCs w:val="24"/>
          <w:lang w:eastAsia="en-GB"/>
        </w:rPr>
        <w:t xml:space="preserve"> March 20</w:t>
      </w:r>
      <w:r w:rsidRPr="00C36A42" w:rsidR="00E04D1D">
        <w:rPr>
          <w:rFonts w:ascii="Arial" w:hAnsi="Arial" w:eastAsia="Times New Roman" w:cs="Arial"/>
          <w:b/>
          <w:sz w:val="24"/>
          <w:szCs w:val="24"/>
          <w:lang w:eastAsia="en-GB"/>
        </w:rPr>
        <w:t>2</w:t>
      </w:r>
      <w:r w:rsidR="00243037">
        <w:rPr>
          <w:rFonts w:ascii="Arial" w:hAnsi="Arial" w:eastAsia="Times New Roman" w:cs="Arial"/>
          <w:b/>
          <w:sz w:val="24"/>
          <w:szCs w:val="24"/>
          <w:lang w:eastAsia="en-GB"/>
        </w:rPr>
        <w:t>5</w:t>
      </w:r>
    </w:p>
    <w:p w:rsidR="00C027B6" w:rsidP="00C027B6" w:rsidRDefault="00C027B6" w14:paraId="21397C42" w14:textId="77777777">
      <w:pPr>
        <w:spacing w:after="0" w:line="240" w:lineRule="auto"/>
        <w:rPr>
          <w:rFonts w:ascii="Arial" w:hAnsi="Arial" w:eastAsia="Times New Roman" w:cs="Arial"/>
          <w:sz w:val="24"/>
          <w:szCs w:val="24"/>
          <w:lang w:eastAsia="en-GB"/>
        </w:rPr>
      </w:pPr>
    </w:p>
    <w:p w:rsidRPr="004C391B" w:rsidR="00243037" w:rsidP="00243037" w:rsidRDefault="00243037" w14:paraId="4004503D" w14:textId="47105637">
      <w:pPr>
        <w:rPr>
          <w:rFonts w:ascii="Arial" w:hAnsi="Arial" w:eastAsia="Times New Roman" w:cs="Arial"/>
          <w:sz w:val="24"/>
          <w:szCs w:val="24"/>
          <w:lang w:val="en-US" w:eastAsia="en-GB"/>
        </w:rPr>
      </w:pPr>
      <w:r w:rsidRPr="004C391B">
        <w:rPr>
          <w:rFonts w:ascii="Arial" w:hAnsi="Arial" w:eastAsia="Times New Roman" w:cs="Arial"/>
          <w:sz w:val="24"/>
          <w:szCs w:val="24"/>
          <w:lang w:val="en-US" w:eastAsia="en-GB"/>
        </w:rPr>
        <w:t>The three planning authorities of Norwich City, Broadland and South Norfolk District Councils have a unique partnership arrangement to manage the re-allocation of their Community Infrastructure Levy (CIL) income. Once the amount for neighborhood CIL and an administration fee is deducted, the remaining balance is transferred to a ‘shared pool’ called the Infrastructure Investment Fund (IIF). Together with Norfolk County Council, the f</w:t>
      </w:r>
      <w:r>
        <w:rPr>
          <w:rFonts w:ascii="Arial" w:hAnsi="Arial" w:eastAsia="Times New Roman" w:cs="Arial"/>
          <w:sz w:val="24"/>
          <w:szCs w:val="24"/>
          <w:lang w:val="en-US" w:eastAsia="en-GB"/>
        </w:rPr>
        <w:t>our</w:t>
      </w:r>
      <w:r w:rsidRPr="004C391B">
        <w:rPr>
          <w:rFonts w:ascii="Arial" w:hAnsi="Arial" w:eastAsia="Times New Roman" w:cs="Arial"/>
          <w:sz w:val="24"/>
          <w:szCs w:val="24"/>
          <w:lang w:val="en-US" w:eastAsia="en-GB"/>
        </w:rPr>
        <w:t xml:space="preserve"> partners oversee the delivery of a joint Greater Norwich </w:t>
      </w:r>
      <w:r w:rsidR="00C35504">
        <w:rPr>
          <w:rFonts w:ascii="Arial" w:hAnsi="Arial" w:eastAsia="Times New Roman" w:cs="Arial"/>
          <w:sz w:val="24"/>
          <w:szCs w:val="24"/>
          <w:lang w:val="en-US" w:eastAsia="en-GB"/>
        </w:rPr>
        <w:t>g</w:t>
      </w:r>
      <w:r w:rsidRPr="004C391B">
        <w:rPr>
          <w:rFonts w:ascii="Arial" w:hAnsi="Arial" w:eastAsia="Times New Roman" w:cs="Arial"/>
          <w:sz w:val="24"/>
          <w:szCs w:val="24"/>
          <w:lang w:val="en-US" w:eastAsia="en-GB"/>
        </w:rPr>
        <w:t xml:space="preserve">rowth </w:t>
      </w:r>
      <w:proofErr w:type="spellStart"/>
      <w:r w:rsidR="00C35504">
        <w:rPr>
          <w:rFonts w:ascii="Arial" w:hAnsi="Arial" w:eastAsia="Times New Roman" w:cs="Arial"/>
          <w:sz w:val="24"/>
          <w:szCs w:val="24"/>
          <w:lang w:val="en-US" w:eastAsia="en-GB"/>
        </w:rPr>
        <w:t>p</w:t>
      </w:r>
      <w:r w:rsidRPr="004C391B">
        <w:rPr>
          <w:rFonts w:ascii="Arial" w:hAnsi="Arial" w:eastAsia="Times New Roman" w:cs="Arial"/>
          <w:sz w:val="24"/>
          <w:szCs w:val="24"/>
          <w:lang w:val="en-US" w:eastAsia="en-GB"/>
        </w:rPr>
        <w:t>rogramme</w:t>
      </w:r>
      <w:proofErr w:type="spellEnd"/>
      <w:r w:rsidRPr="004C391B">
        <w:rPr>
          <w:rFonts w:ascii="Arial" w:hAnsi="Arial" w:eastAsia="Times New Roman" w:cs="Arial"/>
          <w:sz w:val="24"/>
          <w:szCs w:val="24"/>
          <w:lang w:val="en-US" w:eastAsia="en-GB"/>
        </w:rPr>
        <w:t xml:space="preserve"> of projects under the direction of the Greater Norwich Growth Board (GNGB).</w:t>
      </w:r>
    </w:p>
    <w:p w:rsidRPr="004C391B" w:rsidR="00243037" w:rsidP="00243037" w:rsidRDefault="00903B1B" w14:paraId="0086FFEB" w14:textId="0D229DAF">
      <w:pPr>
        <w:rPr>
          <w:rFonts w:ascii="Arial" w:hAnsi="Arial" w:eastAsia="Times New Roman" w:cs="Arial"/>
          <w:sz w:val="24"/>
          <w:szCs w:val="24"/>
          <w:lang w:eastAsia="en-GB"/>
        </w:rPr>
      </w:pPr>
      <w:r>
        <w:rPr>
          <w:rFonts w:ascii="Arial" w:hAnsi="Arial" w:eastAsia="Times New Roman" w:cs="Arial"/>
          <w:sz w:val="24"/>
          <w:szCs w:val="24"/>
          <w:lang w:eastAsia="en-GB"/>
        </w:rPr>
        <w:t>T</w:t>
      </w:r>
      <w:r w:rsidRPr="6C43410E" w:rsidR="00243037">
        <w:rPr>
          <w:rFonts w:ascii="Arial" w:hAnsi="Arial" w:eastAsia="Times New Roman" w:cs="Arial"/>
          <w:sz w:val="24"/>
          <w:szCs w:val="24"/>
          <w:lang w:eastAsia="en-GB"/>
        </w:rPr>
        <w:t xml:space="preserve">he GNGB partnership </w:t>
      </w:r>
      <w:r>
        <w:rPr>
          <w:rFonts w:ascii="Arial" w:hAnsi="Arial" w:eastAsia="Times New Roman" w:cs="Arial"/>
          <w:sz w:val="24"/>
          <w:szCs w:val="24"/>
          <w:lang w:eastAsia="en-GB"/>
        </w:rPr>
        <w:t>was established in 2014.</w:t>
      </w:r>
    </w:p>
    <w:p w:rsidRPr="004C391B" w:rsidR="00243037" w:rsidP="00243037" w:rsidRDefault="00243037" w14:paraId="56147FFC" w14:textId="77777777">
      <w:pPr>
        <w:rPr>
          <w:rFonts w:ascii="Arial" w:hAnsi="Arial" w:eastAsia="Times New Roman" w:cs="Arial"/>
          <w:sz w:val="24"/>
          <w:szCs w:val="24"/>
          <w:lang w:eastAsia="en-GB"/>
        </w:rPr>
      </w:pPr>
      <w:r w:rsidRPr="004C391B">
        <w:rPr>
          <w:rFonts w:ascii="Arial" w:hAnsi="Arial" w:eastAsia="Times New Roman" w:cs="Arial"/>
          <w:sz w:val="24"/>
          <w:szCs w:val="24"/>
          <w:lang w:eastAsia="en-GB"/>
        </w:rPr>
        <w:t xml:space="preserve">The GNGB’s partnership working practices, and particularly the pooling arrangements of CIL contributions within the IIF, are considered an ‘exemplar model of working’ by the Planning Advisory Service (PAS). They have also cited the GNGB as a partnership who are pursuing ambitious growth agendas under strong strategic leadership and cross boundary collaboration. </w:t>
      </w:r>
    </w:p>
    <w:p w:rsidRPr="00C35504" w:rsidR="00C35504" w:rsidP="00C35504" w:rsidRDefault="00C35504" w14:paraId="09D7EAF3" w14:textId="77777777">
      <w:pPr>
        <w:widowControl w:val="0"/>
        <w:autoSpaceDE w:val="0"/>
        <w:autoSpaceDN w:val="0"/>
        <w:spacing w:after="0" w:line="240" w:lineRule="auto"/>
        <w:rPr>
          <w:rFonts w:ascii="Arial" w:hAnsi="Arial" w:eastAsia="Times New Roman" w:cs="Arial"/>
          <w:sz w:val="24"/>
          <w:szCs w:val="24"/>
          <w:lang w:val="en-US" w:eastAsia="en-GB"/>
        </w:rPr>
      </w:pPr>
      <w:r w:rsidRPr="00C35504">
        <w:rPr>
          <w:rFonts w:ascii="Arial" w:hAnsi="Arial" w:eastAsia="Times New Roman" w:cs="Arial"/>
          <w:sz w:val="24"/>
          <w:szCs w:val="24"/>
          <w:lang w:val="en-US" w:eastAsia="en-GB"/>
        </w:rPr>
        <w:t>The GNGB have published their project-specific IIF allocations through their joint Five-Year Infrastructure Investment Plan on an annual basis since 2016, which is before it became a legislative requirement to publish this information within an Infrastructure Funding Statement (IFS). Unfortunately, Greater Norwich’s unique CIL pooling arrangements does not concur with a requirement to report CIL allocations on a District specific basis, because their partnership approach delivers infrastructure cross boundaries. Therefore</w:t>
      </w:r>
      <w:hyperlink r:id="rId6">
        <w:r w:rsidRPr="00C35504">
          <w:rPr>
            <w:rFonts w:ascii="Arial" w:hAnsi="Arial" w:eastAsia="Times New Roman" w:cs="Arial"/>
            <w:color w:val="467886"/>
            <w:sz w:val="24"/>
            <w:szCs w:val="24"/>
            <w:u w:val="single"/>
            <w:lang w:val="en-US" w:eastAsia="en-GB"/>
          </w:rPr>
          <w:t xml:space="preserve"> all CIL re-allocation information required within an IFS continues to be publicly reported within the GNGB’s Five Year Infrastructure Investment Plan which can be found here.</w:t>
        </w:r>
      </w:hyperlink>
      <w:r w:rsidRPr="00C35504">
        <w:rPr>
          <w:rFonts w:ascii="Arial" w:hAnsi="Arial" w:eastAsia="Times New Roman" w:cs="Arial"/>
          <w:sz w:val="24"/>
          <w:szCs w:val="24"/>
          <w:lang w:eastAsia="en-GB"/>
        </w:rPr>
        <w:t xml:space="preserve"> </w:t>
      </w:r>
    </w:p>
    <w:p w:rsidRPr="00C35504" w:rsidR="00C35504" w:rsidP="00C35504" w:rsidRDefault="00C35504" w14:paraId="3B5D2200" w14:textId="77777777">
      <w:pPr>
        <w:widowControl w:val="0"/>
        <w:autoSpaceDE w:val="0"/>
        <w:autoSpaceDN w:val="0"/>
        <w:spacing w:after="0" w:line="240" w:lineRule="auto"/>
        <w:rPr>
          <w:rFonts w:ascii="Arial" w:hAnsi="Arial" w:eastAsia="Times New Roman" w:cs="Arial"/>
          <w:sz w:val="24"/>
          <w:szCs w:val="24"/>
          <w:lang w:eastAsia="en-GB"/>
        </w:rPr>
      </w:pPr>
    </w:p>
    <w:p w:rsidRPr="00C35504" w:rsidR="00C35504" w:rsidP="00C35504" w:rsidRDefault="00C35504" w14:paraId="7EEE3CE7" w14:textId="77777777">
      <w:pPr>
        <w:widowControl w:val="0"/>
        <w:autoSpaceDE w:val="0"/>
        <w:autoSpaceDN w:val="0"/>
        <w:spacing w:after="0" w:line="240" w:lineRule="auto"/>
        <w:rPr>
          <w:rFonts w:ascii="Arial" w:hAnsi="Arial" w:eastAsia="Times New Roman" w:cs="Arial"/>
          <w:sz w:val="24"/>
          <w:szCs w:val="24"/>
          <w:lang w:eastAsia="en-GB"/>
        </w:rPr>
      </w:pPr>
      <w:r w:rsidRPr="00C35504">
        <w:rPr>
          <w:rFonts w:ascii="Arial" w:hAnsi="Arial" w:eastAsia="Times New Roman" w:cs="Arial"/>
          <w:sz w:val="24"/>
          <w:szCs w:val="24"/>
          <w:lang w:eastAsia="en-GB"/>
        </w:rPr>
        <w:t xml:space="preserve">The Greater Norwich authorities also report their CIL income and allocations within each </w:t>
      </w:r>
      <w:hyperlink w:history="1" r:id="rId7">
        <w:r w:rsidRPr="00C35504">
          <w:rPr>
            <w:rFonts w:ascii="Arial" w:hAnsi="Arial" w:eastAsia="Times New Roman" w:cs="Arial"/>
            <w:color w:val="467886"/>
            <w:sz w:val="24"/>
            <w:szCs w:val="24"/>
            <w:u w:val="single"/>
            <w:lang w:eastAsia="en-GB"/>
          </w:rPr>
          <w:t>Annual Monitoring Report which can be found here</w:t>
        </w:r>
      </w:hyperlink>
      <w:r w:rsidRPr="00C35504">
        <w:rPr>
          <w:rFonts w:ascii="Arial" w:hAnsi="Arial" w:eastAsia="Calibri" w:cs="Arial"/>
          <w:sz w:val="24"/>
          <w:szCs w:val="24"/>
        </w:rPr>
        <w:t>.</w:t>
      </w:r>
    </w:p>
    <w:p w:rsidRPr="00C35504" w:rsidR="00C35504" w:rsidP="00C35504" w:rsidRDefault="00C35504" w14:paraId="14A36122" w14:textId="77777777">
      <w:pPr>
        <w:widowControl w:val="0"/>
        <w:autoSpaceDE w:val="0"/>
        <w:autoSpaceDN w:val="0"/>
        <w:spacing w:after="0" w:line="240" w:lineRule="auto"/>
        <w:rPr>
          <w:rFonts w:ascii="Arial" w:hAnsi="Arial" w:eastAsia="Calibri" w:cs="Arial"/>
          <w:sz w:val="24"/>
          <w:szCs w:val="24"/>
        </w:rPr>
      </w:pPr>
    </w:p>
    <w:p w:rsidRPr="00C35504" w:rsidR="00C35504" w:rsidP="00C35504" w:rsidRDefault="00C35504" w14:paraId="5AD20887" w14:textId="77777777">
      <w:pPr>
        <w:widowControl w:val="0"/>
        <w:autoSpaceDE w:val="0"/>
        <w:autoSpaceDN w:val="0"/>
        <w:spacing w:after="0" w:line="240" w:lineRule="auto"/>
        <w:rPr>
          <w:rFonts w:ascii="Arial" w:hAnsi="Arial" w:eastAsia="Calibri" w:cs="Arial"/>
          <w:sz w:val="24"/>
          <w:szCs w:val="24"/>
        </w:rPr>
      </w:pPr>
      <w:r w:rsidRPr="00C35504">
        <w:rPr>
          <w:rFonts w:ascii="Arial" w:hAnsi="Arial" w:eastAsia="Calibri" w:cs="Arial"/>
          <w:sz w:val="24"/>
          <w:szCs w:val="24"/>
        </w:rPr>
        <w:t xml:space="preserve"> Allocations from the IIF are currently restricted to the four thematic groups as agreed within the Greater Norwich adopted CIL charging policy. These are Transport, Education, Green Infrastructure and Community (which includes sports). When CIL was initially adopted, local authorities were required to report a Regulation 123 list confirming the infrastructure thematic groups which were considered within their CIL charging calculations and therefore the groups to which CIL can be reallocated to. The need for this list was withdrawn by legislation from September 2019, but this does not automatically allow other groups to apply to the IIF because the Greater Norwich authorities are still adhering to their locally adopted CIL charging policy. </w:t>
      </w:r>
    </w:p>
    <w:p w:rsidRPr="00C35504" w:rsidR="00C35504" w:rsidP="00C35504" w:rsidRDefault="00C35504" w14:paraId="469DFF34" w14:textId="77777777">
      <w:pPr>
        <w:widowControl w:val="0"/>
        <w:autoSpaceDE w:val="0"/>
        <w:autoSpaceDN w:val="0"/>
        <w:spacing w:after="0" w:line="240" w:lineRule="auto"/>
        <w:rPr>
          <w:rFonts w:ascii="Arial" w:hAnsi="Arial" w:eastAsia="Calibri" w:cs="Arial"/>
          <w:sz w:val="24"/>
          <w:szCs w:val="24"/>
        </w:rPr>
      </w:pPr>
    </w:p>
    <w:p w:rsidRPr="00C35504" w:rsidR="00C35504" w:rsidP="00C35504" w:rsidRDefault="00C35504" w14:paraId="365457C4" w14:textId="77777777">
      <w:pPr>
        <w:widowControl w:val="0"/>
        <w:autoSpaceDE w:val="0"/>
        <w:autoSpaceDN w:val="0"/>
        <w:spacing w:after="0" w:line="240" w:lineRule="auto"/>
        <w:rPr>
          <w:rFonts w:ascii="Arial" w:hAnsi="Arial" w:eastAsia="Calibri" w:cs="Arial"/>
          <w:sz w:val="24"/>
          <w:szCs w:val="24"/>
        </w:rPr>
      </w:pPr>
      <w:r w:rsidRPr="00C35504">
        <w:rPr>
          <w:rFonts w:ascii="Arial" w:hAnsi="Arial" w:eastAsia="Calibri" w:cs="Arial"/>
          <w:sz w:val="24"/>
          <w:szCs w:val="24"/>
        </w:rPr>
        <w:lastRenderedPageBreak/>
        <w:t>The GNGB understand the funding pressures that other infrastructure thematic groups are experiencing and were planning to undertake a review of CIL alongside the development of the Greater Norwich Local Plan. However, this was put on hold following the publication of the Planning for The Future - White Paper in August 2020, which proposed the cessation of CIL in favour of a new Infrastructure Levy (IL). The Government is however still considering proposals to reform the current system of development contributions.</w:t>
      </w:r>
    </w:p>
    <w:p w:rsidRPr="00C35504" w:rsidR="00C35504" w:rsidP="00C35504" w:rsidRDefault="00C35504" w14:paraId="5CB7C6EE" w14:textId="77777777">
      <w:pPr>
        <w:widowControl w:val="0"/>
        <w:autoSpaceDE w:val="0"/>
        <w:autoSpaceDN w:val="0"/>
        <w:spacing w:after="0" w:line="240" w:lineRule="auto"/>
        <w:rPr>
          <w:rFonts w:ascii="Arial" w:hAnsi="Arial" w:eastAsia="Calibri" w:cs="Arial"/>
          <w:sz w:val="24"/>
          <w:szCs w:val="24"/>
        </w:rPr>
      </w:pPr>
    </w:p>
    <w:p w:rsidRPr="00C35504" w:rsidR="00C35504" w:rsidP="00C35504" w:rsidRDefault="00C35504" w14:paraId="1157724E" w14:textId="6A420A93">
      <w:pPr>
        <w:widowControl w:val="0"/>
        <w:autoSpaceDE w:val="0"/>
        <w:autoSpaceDN w:val="0"/>
        <w:spacing w:after="0" w:line="240" w:lineRule="auto"/>
        <w:rPr>
          <w:rFonts w:ascii="Arial" w:hAnsi="Arial" w:eastAsia="Calibri" w:cs="Arial"/>
          <w:sz w:val="24"/>
          <w:szCs w:val="24"/>
        </w:rPr>
      </w:pPr>
      <w:bookmarkStart w:name="_Hlk215138662" w:id="0"/>
      <w:r w:rsidRPr="00C35504">
        <w:rPr>
          <w:rFonts w:ascii="Arial" w:hAnsi="Arial" w:eastAsia="Calibri" w:cs="Arial"/>
          <w:sz w:val="24"/>
          <w:szCs w:val="24"/>
        </w:rPr>
        <w:t xml:space="preserve">The Greater Norwich partners will work together to carefully consider the timing and approach for conducting a CIL review, but </w:t>
      </w:r>
      <w:r>
        <w:rPr>
          <w:rFonts w:ascii="Arial" w:hAnsi="Arial" w:eastAsia="Calibri" w:cs="Arial"/>
          <w:sz w:val="24"/>
          <w:szCs w:val="24"/>
        </w:rPr>
        <w:t xml:space="preserve">in the meanwhile </w:t>
      </w:r>
      <w:r w:rsidRPr="00C35504">
        <w:rPr>
          <w:rFonts w:ascii="Arial" w:hAnsi="Arial" w:eastAsia="Calibri" w:cs="Arial"/>
          <w:sz w:val="24"/>
          <w:szCs w:val="24"/>
        </w:rPr>
        <w:t>the GNGB are required to proceed with their existing adopted CIL charging policy.</w:t>
      </w:r>
    </w:p>
    <w:bookmarkEnd w:id="0"/>
    <w:p w:rsidRPr="00C35504" w:rsidR="00C35504" w:rsidP="00C35504" w:rsidRDefault="00C35504" w14:paraId="62C8C5A5" w14:textId="77777777">
      <w:pPr>
        <w:spacing w:before="120" w:after="0"/>
        <w:ind w:right="221"/>
        <w:rPr>
          <w:rFonts w:ascii="Arial" w:hAnsi="Arial" w:eastAsia="Calibri" w:cs="Arial"/>
          <w:sz w:val="24"/>
          <w:szCs w:val="24"/>
        </w:rPr>
      </w:pPr>
      <w:r w:rsidRPr="00C35504">
        <w:rPr>
          <w:rFonts w:ascii="Arial" w:hAnsi="Arial" w:eastAsia="Calibri" w:cs="Arial"/>
          <w:sz w:val="24"/>
          <w:szCs w:val="24"/>
        </w:rPr>
        <w:br w:type="page"/>
      </w:r>
    </w:p>
    <w:p w:rsidR="00C027B6" w:rsidP="00C36A42" w:rsidRDefault="00C027B6" w14:paraId="2880A9F8" w14:textId="769E1F12">
      <w:pPr>
        <w:spacing w:after="0" w:line="240" w:lineRule="auto"/>
        <w:rPr>
          <w:rFonts w:ascii="Arial" w:hAnsi="Arial" w:eastAsia="Times New Roman" w:cs="Arial"/>
          <w:b/>
          <w:sz w:val="24"/>
          <w:szCs w:val="24"/>
          <w:lang w:eastAsia="en-GB"/>
        </w:rPr>
      </w:pPr>
      <w:r w:rsidRPr="00C027B6">
        <w:rPr>
          <w:rFonts w:ascii="Arial" w:hAnsi="Arial" w:eastAsia="Times New Roman" w:cs="Arial"/>
          <w:b/>
          <w:sz w:val="24"/>
          <w:szCs w:val="24"/>
          <w:lang w:eastAsia="en-GB"/>
        </w:rPr>
        <w:lastRenderedPageBreak/>
        <w:t xml:space="preserve">Reporting Information as required by </w:t>
      </w:r>
      <w:r w:rsidR="00E04D1D">
        <w:rPr>
          <w:rFonts w:ascii="Arial" w:hAnsi="Arial" w:eastAsia="Times New Roman" w:cs="Arial"/>
          <w:b/>
          <w:sz w:val="24"/>
          <w:szCs w:val="24"/>
          <w:lang w:eastAsia="en-GB"/>
        </w:rPr>
        <w:t xml:space="preserve">Schedule 2 </w:t>
      </w:r>
      <w:r w:rsidR="00354AD0">
        <w:rPr>
          <w:rFonts w:ascii="Arial" w:hAnsi="Arial" w:eastAsia="Times New Roman" w:cs="Arial"/>
          <w:b/>
          <w:sz w:val="24"/>
          <w:szCs w:val="24"/>
          <w:lang w:eastAsia="en-GB"/>
        </w:rPr>
        <w:t xml:space="preserve">of </w:t>
      </w:r>
      <w:r w:rsidRPr="00C027B6">
        <w:rPr>
          <w:rFonts w:ascii="Arial" w:hAnsi="Arial" w:eastAsia="Times New Roman" w:cs="Arial"/>
          <w:b/>
          <w:sz w:val="24"/>
          <w:szCs w:val="24"/>
          <w:lang w:eastAsia="en-GB"/>
        </w:rPr>
        <w:t xml:space="preserve">Community Infrastructure Levy Regulation </w:t>
      </w:r>
      <w:r w:rsidR="00354AD0">
        <w:rPr>
          <w:rFonts w:ascii="Arial" w:hAnsi="Arial" w:eastAsia="Times New Roman" w:cs="Arial"/>
          <w:b/>
          <w:sz w:val="24"/>
          <w:szCs w:val="24"/>
          <w:lang w:eastAsia="en-GB"/>
        </w:rPr>
        <w:t>121A</w:t>
      </w:r>
      <w:r w:rsidRPr="00C027B6">
        <w:rPr>
          <w:rFonts w:ascii="Arial" w:hAnsi="Arial" w:eastAsia="Times New Roman" w:cs="Arial"/>
          <w:b/>
          <w:sz w:val="24"/>
          <w:szCs w:val="24"/>
          <w:lang w:eastAsia="en-GB"/>
        </w:rPr>
        <w:t xml:space="preserve"> for the year 20</w:t>
      </w:r>
      <w:r w:rsidR="00181D1A">
        <w:rPr>
          <w:rFonts w:ascii="Arial" w:hAnsi="Arial" w:eastAsia="Times New Roman" w:cs="Arial"/>
          <w:b/>
          <w:sz w:val="24"/>
          <w:szCs w:val="24"/>
          <w:lang w:eastAsia="en-GB"/>
        </w:rPr>
        <w:t>2</w:t>
      </w:r>
      <w:r w:rsidR="00243037">
        <w:rPr>
          <w:rFonts w:ascii="Arial" w:hAnsi="Arial" w:eastAsia="Times New Roman" w:cs="Arial"/>
          <w:b/>
          <w:sz w:val="24"/>
          <w:szCs w:val="24"/>
          <w:lang w:eastAsia="en-GB"/>
        </w:rPr>
        <w:t>4</w:t>
      </w:r>
      <w:r w:rsidRPr="00C027B6">
        <w:rPr>
          <w:rFonts w:ascii="Arial" w:hAnsi="Arial" w:eastAsia="Times New Roman" w:cs="Arial"/>
          <w:b/>
          <w:sz w:val="24"/>
          <w:szCs w:val="24"/>
          <w:lang w:eastAsia="en-GB"/>
        </w:rPr>
        <w:t xml:space="preserve"> to 20</w:t>
      </w:r>
      <w:r w:rsidR="00E04D1D">
        <w:rPr>
          <w:rFonts w:ascii="Arial" w:hAnsi="Arial" w:eastAsia="Times New Roman" w:cs="Arial"/>
          <w:b/>
          <w:sz w:val="24"/>
          <w:szCs w:val="24"/>
          <w:lang w:eastAsia="en-GB"/>
        </w:rPr>
        <w:t>2</w:t>
      </w:r>
      <w:r w:rsidR="00243037">
        <w:rPr>
          <w:rFonts w:ascii="Arial" w:hAnsi="Arial" w:eastAsia="Times New Roman" w:cs="Arial"/>
          <w:b/>
          <w:sz w:val="24"/>
          <w:szCs w:val="24"/>
          <w:lang w:eastAsia="en-GB"/>
        </w:rPr>
        <w:t>5</w:t>
      </w:r>
      <w:r w:rsidRPr="00C027B6">
        <w:rPr>
          <w:rFonts w:ascii="Arial" w:hAnsi="Arial" w:eastAsia="Times New Roman" w:cs="Arial"/>
          <w:b/>
          <w:sz w:val="24"/>
          <w:szCs w:val="24"/>
          <w:lang w:eastAsia="en-GB"/>
        </w:rPr>
        <w:t xml:space="preserve"> for </w:t>
      </w:r>
      <w:r w:rsidR="003A34FA">
        <w:rPr>
          <w:rFonts w:ascii="Arial" w:hAnsi="Arial" w:eastAsia="Times New Roman" w:cs="Arial"/>
          <w:b/>
          <w:sz w:val="24"/>
          <w:szCs w:val="24"/>
          <w:lang w:eastAsia="en-GB"/>
        </w:rPr>
        <w:t>Broadland District</w:t>
      </w:r>
      <w:r w:rsidRPr="00C027B6">
        <w:rPr>
          <w:rFonts w:ascii="Arial" w:hAnsi="Arial" w:eastAsia="Times New Roman" w:cs="Arial"/>
          <w:b/>
          <w:sz w:val="24"/>
          <w:szCs w:val="24"/>
          <w:lang w:eastAsia="en-GB"/>
        </w:rPr>
        <w:t xml:space="preserve"> Council</w:t>
      </w:r>
    </w:p>
    <w:p w:rsidR="000A254B" w:rsidP="00C36A42" w:rsidRDefault="000A254B" w14:paraId="153D9DB9" w14:textId="77777777">
      <w:pPr>
        <w:spacing w:after="0" w:line="240" w:lineRule="auto"/>
        <w:rPr>
          <w:rFonts w:ascii="Arial" w:hAnsi="Arial" w:eastAsia="Times New Roman" w:cs="Arial"/>
          <w:b/>
          <w:sz w:val="24"/>
          <w:szCs w:val="24"/>
          <w:lang w:eastAsia="en-GB"/>
        </w:rPr>
      </w:pPr>
    </w:p>
    <w:p w:rsidRPr="00C027B6" w:rsidR="00272557" w:rsidP="00C027B6" w:rsidRDefault="00272557" w14:paraId="09B29388" w14:textId="77777777">
      <w:pPr>
        <w:spacing w:after="0" w:line="240" w:lineRule="auto"/>
        <w:rPr>
          <w:rFonts w:ascii="Arial" w:hAnsi="Arial" w:eastAsia="Times New Roman" w:cs="Arial"/>
          <w:b/>
          <w:sz w:val="24"/>
          <w:szCs w:val="24"/>
          <w:lang w:eastAsia="en-GB"/>
        </w:rPr>
      </w:pPr>
    </w:p>
    <w:tbl>
      <w:tblPr>
        <w:tblStyle w:val="TableGrid4"/>
        <w:tblW w:w="13779" w:type="dxa"/>
        <w:tblInd w:w="-176" w:type="dxa"/>
        <w:tblLayout w:type="fixed"/>
        <w:tblLook w:val="04A0" w:firstRow="1" w:lastRow="0" w:firstColumn="1" w:lastColumn="0" w:noHBand="0" w:noVBand="1"/>
      </w:tblPr>
      <w:tblGrid>
        <w:gridCol w:w="1537"/>
        <w:gridCol w:w="9124"/>
        <w:gridCol w:w="3118"/>
      </w:tblGrid>
      <w:tr w:rsidRPr="00C027B6" w:rsidR="00E06159" w:rsidTr="00C36A42" w14:paraId="73933A1A" w14:textId="77777777">
        <w:tc>
          <w:tcPr>
            <w:tcW w:w="1537" w:type="dxa"/>
            <w:tcBorders>
              <w:top w:val="single" w:color="auto" w:sz="4" w:space="0"/>
              <w:left w:val="single" w:color="auto" w:sz="4" w:space="0"/>
              <w:bottom w:val="single" w:color="auto" w:sz="4" w:space="0"/>
              <w:right w:val="single" w:color="auto" w:sz="4" w:space="0"/>
            </w:tcBorders>
            <w:hideMark/>
          </w:tcPr>
          <w:p w:rsidRPr="00651401" w:rsidR="00C027B6" w:rsidP="00C027B6" w:rsidRDefault="00354AD0" w14:paraId="6B0553CB" w14:textId="4C4BB6AB">
            <w:pPr>
              <w:rPr>
                <w:rFonts w:cs="Arial"/>
                <w:b/>
                <w:sz w:val="22"/>
                <w:lang w:eastAsia="en-GB"/>
              </w:rPr>
            </w:pPr>
            <w:r w:rsidRPr="00651401">
              <w:rPr>
                <w:rFonts w:cs="Arial"/>
                <w:b/>
                <w:sz w:val="22"/>
                <w:lang w:eastAsia="en-GB"/>
              </w:rPr>
              <w:t xml:space="preserve">Paragraph  </w:t>
            </w:r>
          </w:p>
        </w:tc>
        <w:tc>
          <w:tcPr>
            <w:tcW w:w="9124" w:type="dxa"/>
            <w:tcBorders>
              <w:top w:val="single" w:color="auto" w:sz="4" w:space="0"/>
              <w:left w:val="single" w:color="auto" w:sz="4" w:space="0"/>
              <w:bottom w:val="single" w:color="auto" w:sz="4" w:space="0"/>
              <w:right w:val="single" w:color="auto" w:sz="4" w:space="0"/>
            </w:tcBorders>
            <w:hideMark/>
          </w:tcPr>
          <w:p w:rsidRPr="00651401" w:rsidR="00C027B6" w:rsidP="00C027B6" w:rsidRDefault="00C027B6" w14:paraId="466C72FE" w14:textId="77777777">
            <w:pPr>
              <w:rPr>
                <w:rFonts w:cs="Arial"/>
                <w:b/>
                <w:sz w:val="22"/>
                <w:lang w:eastAsia="en-GB"/>
              </w:rPr>
            </w:pPr>
            <w:r w:rsidRPr="00651401">
              <w:rPr>
                <w:rFonts w:cs="Arial"/>
                <w:b/>
                <w:sz w:val="22"/>
                <w:lang w:eastAsia="en-GB"/>
              </w:rPr>
              <w:t>Description</w:t>
            </w:r>
          </w:p>
        </w:tc>
        <w:tc>
          <w:tcPr>
            <w:tcW w:w="3118" w:type="dxa"/>
            <w:tcBorders>
              <w:top w:val="single" w:color="auto" w:sz="4" w:space="0"/>
              <w:left w:val="single" w:color="auto" w:sz="4" w:space="0"/>
              <w:bottom w:val="single" w:color="auto" w:sz="4" w:space="0"/>
              <w:right w:val="single" w:color="auto" w:sz="4" w:space="0"/>
            </w:tcBorders>
            <w:hideMark/>
          </w:tcPr>
          <w:p w:rsidRPr="00651401" w:rsidR="00C027B6" w:rsidP="00C027B6" w:rsidRDefault="00C027B6" w14:paraId="49844D38" w14:textId="77777777">
            <w:pPr>
              <w:rPr>
                <w:rFonts w:cs="Arial"/>
                <w:b/>
                <w:sz w:val="22"/>
                <w:lang w:eastAsia="en-GB"/>
              </w:rPr>
            </w:pPr>
            <w:r w:rsidRPr="00651401">
              <w:rPr>
                <w:rFonts w:cs="Arial"/>
                <w:b/>
                <w:sz w:val="22"/>
                <w:lang w:eastAsia="en-GB"/>
              </w:rPr>
              <w:t>Amount</w:t>
            </w:r>
          </w:p>
        </w:tc>
      </w:tr>
      <w:tr w:rsidRPr="00C36A42" w:rsidR="00E06159" w:rsidTr="00C36A42" w14:paraId="0CE25E39" w14:textId="77777777">
        <w:tc>
          <w:tcPr>
            <w:tcW w:w="1537" w:type="dxa"/>
            <w:tcBorders>
              <w:top w:val="single" w:color="auto" w:sz="4" w:space="0"/>
              <w:left w:val="single" w:color="auto" w:sz="4" w:space="0"/>
              <w:bottom w:val="single" w:color="auto" w:sz="4" w:space="0"/>
              <w:right w:val="single" w:color="auto" w:sz="4" w:space="0"/>
            </w:tcBorders>
            <w:hideMark/>
          </w:tcPr>
          <w:p w:rsidRPr="00C36A42" w:rsidR="00C027B6" w:rsidP="00C027B6" w:rsidRDefault="00354AD0" w14:paraId="7228F2B3" w14:textId="2E63DEC8">
            <w:pPr>
              <w:rPr>
                <w:rFonts w:cs="Arial"/>
                <w:sz w:val="22"/>
                <w:lang w:eastAsia="en-GB"/>
              </w:rPr>
            </w:pPr>
            <w:r w:rsidRPr="00C36A42">
              <w:rPr>
                <w:rFonts w:cs="Arial"/>
                <w:sz w:val="22"/>
                <w:lang w:eastAsia="en-GB"/>
              </w:rPr>
              <w:t xml:space="preserve">1 (a) </w:t>
            </w:r>
          </w:p>
        </w:tc>
        <w:tc>
          <w:tcPr>
            <w:tcW w:w="9124" w:type="dxa"/>
            <w:tcBorders>
              <w:top w:val="single" w:color="auto" w:sz="4" w:space="0"/>
              <w:left w:val="single" w:color="auto" w:sz="4" w:space="0"/>
              <w:bottom w:val="single" w:color="auto" w:sz="4" w:space="0"/>
              <w:right w:val="single" w:color="auto" w:sz="4" w:space="0"/>
            </w:tcBorders>
            <w:hideMark/>
          </w:tcPr>
          <w:p w:rsidRPr="00C36A42" w:rsidR="00C027B6" w:rsidP="00C027B6" w:rsidRDefault="00354AD0" w14:paraId="27F3B597" w14:textId="4CF77150">
            <w:pPr>
              <w:rPr>
                <w:rFonts w:cs="Arial"/>
                <w:sz w:val="22"/>
                <w:lang w:eastAsia="en-GB"/>
              </w:rPr>
            </w:pPr>
            <w:r w:rsidRPr="00C36A42">
              <w:rPr>
                <w:rFonts w:cs="Arial"/>
                <w:sz w:val="22"/>
                <w:lang w:eastAsia="en-GB"/>
              </w:rPr>
              <w:t xml:space="preserve">The total value of CIL set out in all demand notices issued in the reported year  </w:t>
            </w:r>
          </w:p>
        </w:tc>
        <w:tc>
          <w:tcPr>
            <w:tcW w:w="3118" w:type="dxa"/>
            <w:tcBorders>
              <w:top w:val="single" w:color="auto" w:sz="4" w:space="0"/>
              <w:left w:val="single" w:color="auto" w:sz="4" w:space="0"/>
              <w:bottom w:val="single" w:color="auto" w:sz="4" w:space="0"/>
              <w:right w:val="single" w:color="auto" w:sz="4" w:space="0"/>
            </w:tcBorders>
          </w:tcPr>
          <w:p w:rsidRPr="003E4834" w:rsidR="00C027B6" w:rsidP="003E4834" w:rsidRDefault="00577558" w14:paraId="75D3C34D" w14:textId="77777777">
            <w:pPr>
              <w:rPr>
                <w:rFonts w:cs="Arial"/>
                <w:color w:val="000000"/>
                <w:szCs w:val="24"/>
              </w:rPr>
            </w:pPr>
            <w:r w:rsidRPr="003E4834">
              <w:rPr>
                <w:rFonts w:cs="Arial"/>
                <w:szCs w:val="24"/>
                <w:lang w:eastAsia="en-GB"/>
              </w:rPr>
              <w:t>£</w:t>
            </w:r>
            <w:r w:rsidRPr="003E4834" w:rsidR="00590D76">
              <w:rPr>
                <w:rFonts w:cs="Arial"/>
                <w:szCs w:val="24"/>
                <w:lang w:eastAsia="en-GB"/>
              </w:rPr>
              <w:t xml:space="preserve"> </w:t>
            </w:r>
            <w:r w:rsidRPr="003E4834" w:rsidR="00CE0296">
              <w:rPr>
                <w:rFonts w:cs="Arial"/>
                <w:szCs w:val="24"/>
                <w:lang w:eastAsia="en-GB"/>
              </w:rPr>
              <w:t>2</w:t>
            </w:r>
            <w:commentRangeStart w:id="1"/>
            <w:commentRangeStart w:id="2"/>
            <w:r w:rsidRPr="003E4834" w:rsidR="001740DB">
              <w:rPr>
                <w:rFonts w:cs="Arial"/>
                <w:color w:val="000000"/>
                <w:szCs w:val="24"/>
              </w:rPr>
              <w:t>,</w:t>
            </w:r>
            <w:r w:rsidRPr="003E4834" w:rsidR="00CE0296">
              <w:rPr>
                <w:rFonts w:cs="Arial"/>
                <w:color w:val="000000"/>
                <w:szCs w:val="24"/>
              </w:rPr>
              <w:t>898</w:t>
            </w:r>
            <w:r w:rsidRPr="003E4834" w:rsidR="007D3ED5">
              <w:rPr>
                <w:rFonts w:cs="Arial"/>
                <w:color w:val="000000"/>
                <w:szCs w:val="24"/>
              </w:rPr>
              <w:t>,</w:t>
            </w:r>
            <w:r w:rsidRPr="003E4834" w:rsidR="003E4834">
              <w:rPr>
                <w:rFonts w:cs="Arial"/>
                <w:color w:val="000000"/>
                <w:szCs w:val="24"/>
              </w:rPr>
              <w:t>160.06</w:t>
            </w:r>
            <w:commentRangeEnd w:id="1"/>
            <w:r w:rsidRPr="003E4834" w:rsidR="00ED1A8D">
              <w:rPr>
                <w:rStyle w:val="CommentReference"/>
                <w:rFonts w:cs="Arial" w:eastAsiaTheme="minorHAnsi"/>
                <w:sz w:val="24"/>
                <w:szCs w:val="24"/>
              </w:rPr>
              <w:commentReference w:id="1"/>
            </w:r>
            <w:commentRangeEnd w:id="2"/>
            <w:r w:rsidRPr="003E4834" w:rsidR="00602B8C">
              <w:rPr>
                <w:rStyle w:val="CommentReference"/>
                <w:rFonts w:cs="Arial" w:eastAsiaTheme="minorHAnsi"/>
                <w:sz w:val="24"/>
                <w:szCs w:val="24"/>
              </w:rPr>
              <w:commentReference w:id="2"/>
            </w:r>
          </w:p>
          <w:p w:rsidRPr="00C36A42" w:rsidR="003E4834" w:rsidP="003E4834" w:rsidRDefault="003E4834" w14:paraId="4B8A1F5F" w14:textId="1E1731ED">
            <w:pPr>
              <w:rPr>
                <w:rFonts w:cs="Arial"/>
                <w:sz w:val="22"/>
                <w:lang w:eastAsia="en-GB"/>
              </w:rPr>
            </w:pPr>
          </w:p>
        </w:tc>
      </w:tr>
      <w:tr w:rsidRPr="00C36A42" w:rsidR="00E06159" w:rsidTr="00C36A42" w14:paraId="7BACA21C" w14:textId="77777777">
        <w:tc>
          <w:tcPr>
            <w:tcW w:w="1537" w:type="dxa"/>
            <w:tcBorders>
              <w:top w:val="single" w:color="auto" w:sz="4" w:space="0"/>
              <w:left w:val="single" w:color="auto" w:sz="4" w:space="0"/>
              <w:bottom w:val="single" w:color="auto" w:sz="4" w:space="0"/>
              <w:right w:val="single" w:color="auto" w:sz="4" w:space="0"/>
            </w:tcBorders>
          </w:tcPr>
          <w:p w:rsidRPr="00C36A42" w:rsidR="00C027B6" w:rsidP="00C027B6" w:rsidRDefault="00354AD0" w14:paraId="63457AF6" w14:textId="5C60916B">
            <w:pPr>
              <w:rPr>
                <w:rFonts w:cs="Arial"/>
                <w:sz w:val="22"/>
                <w:lang w:eastAsia="en-GB"/>
              </w:rPr>
            </w:pPr>
            <w:r w:rsidRPr="00C36A42">
              <w:rPr>
                <w:rFonts w:cs="Arial"/>
                <w:sz w:val="22"/>
                <w:lang w:eastAsia="en-GB"/>
              </w:rPr>
              <w:t xml:space="preserve">1 (b) </w:t>
            </w:r>
          </w:p>
        </w:tc>
        <w:tc>
          <w:tcPr>
            <w:tcW w:w="9124" w:type="dxa"/>
            <w:tcBorders>
              <w:top w:val="single" w:color="auto" w:sz="4" w:space="0"/>
              <w:left w:val="single" w:color="auto" w:sz="4" w:space="0"/>
              <w:bottom w:val="single" w:color="auto" w:sz="4" w:space="0"/>
              <w:right w:val="single" w:color="auto" w:sz="4" w:space="0"/>
            </w:tcBorders>
          </w:tcPr>
          <w:p w:rsidRPr="00C36A42" w:rsidR="00C027B6" w:rsidP="00C027B6" w:rsidRDefault="00354AD0" w14:paraId="7F05146F" w14:textId="77777777">
            <w:pPr>
              <w:rPr>
                <w:rFonts w:cs="Arial"/>
                <w:sz w:val="22"/>
                <w:lang w:eastAsia="en-GB"/>
              </w:rPr>
            </w:pPr>
            <w:r w:rsidRPr="00C36A42">
              <w:rPr>
                <w:rFonts w:cs="Arial"/>
                <w:sz w:val="22"/>
                <w:lang w:eastAsia="en-GB"/>
              </w:rPr>
              <w:t xml:space="preserve">The total amount of CIL receipts for the reported year </w:t>
            </w:r>
          </w:p>
          <w:p w:rsidRPr="00C36A42" w:rsidR="006F6F61" w:rsidP="00C027B6" w:rsidRDefault="006F6F61" w14:paraId="7B8B096D" w14:textId="3045C0E0">
            <w:pPr>
              <w:rPr>
                <w:rFonts w:cs="Arial"/>
                <w:sz w:val="22"/>
                <w:lang w:eastAsia="en-GB"/>
              </w:rPr>
            </w:pPr>
          </w:p>
        </w:tc>
        <w:tc>
          <w:tcPr>
            <w:tcW w:w="3118" w:type="dxa"/>
            <w:tcBorders>
              <w:top w:val="single" w:color="auto" w:sz="4" w:space="0"/>
              <w:left w:val="single" w:color="auto" w:sz="4" w:space="0"/>
              <w:bottom w:val="single" w:color="auto" w:sz="4" w:space="0"/>
              <w:right w:val="single" w:color="auto" w:sz="4" w:space="0"/>
            </w:tcBorders>
          </w:tcPr>
          <w:p w:rsidRPr="00C36A42" w:rsidR="00C027B6" w:rsidP="00C027B6" w:rsidRDefault="00651401" w14:paraId="2E29263C" w14:textId="774980B6">
            <w:pPr>
              <w:rPr>
                <w:rFonts w:cs="Arial"/>
                <w:sz w:val="22"/>
                <w:lang w:eastAsia="en-GB"/>
              </w:rPr>
            </w:pPr>
            <w:r w:rsidRPr="00C36A42">
              <w:rPr>
                <w:rFonts w:cs="Arial"/>
                <w:sz w:val="22"/>
                <w:lang w:eastAsia="en-GB"/>
              </w:rPr>
              <w:t>£</w:t>
            </w:r>
            <w:r w:rsidR="00053DBB">
              <w:rPr>
                <w:rFonts w:cs="Arial"/>
                <w:sz w:val="22"/>
                <w:lang w:eastAsia="en-GB"/>
              </w:rPr>
              <w:t xml:space="preserve"> </w:t>
            </w:r>
            <w:r w:rsidRPr="00590D76" w:rsidR="00590D76">
              <w:rPr>
                <w:rFonts w:cs="Arial"/>
                <w:sz w:val="22"/>
                <w:lang w:eastAsia="en-GB"/>
              </w:rPr>
              <w:t>1,725,416.99</w:t>
            </w:r>
          </w:p>
        </w:tc>
      </w:tr>
      <w:tr w:rsidRPr="00C36A42" w:rsidR="00E06159" w:rsidTr="00C36A42" w14:paraId="562AC83F" w14:textId="77777777">
        <w:tc>
          <w:tcPr>
            <w:tcW w:w="1537" w:type="dxa"/>
            <w:tcBorders>
              <w:top w:val="single" w:color="auto" w:sz="4" w:space="0"/>
              <w:left w:val="single" w:color="auto" w:sz="4" w:space="0"/>
              <w:bottom w:val="single" w:color="auto" w:sz="4" w:space="0"/>
              <w:right w:val="single" w:color="auto" w:sz="4" w:space="0"/>
            </w:tcBorders>
          </w:tcPr>
          <w:p w:rsidRPr="00C36A42" w:rsidR="00C027B6" w:rsidP="00C027B6" w:rsidRDefault="00354AD0" w14:paraId="28D415F7" w14:textId="2C83901C">
            <w:pPr>
              <w:rPr>
                <w:rFonts w:cs="Arial"/>
                <w:sz w:val="22"/>
                <w:lang w:eastAsia="en-GB"/>
              </w:rPr>
            </w:pPr>
            <w:r w:rsidRPr="00C36A42">
              <w:rPr>
                <w:rFonts w:cs="Arial"/>
                <w:sz w:val="22"/>
                <w:lang w:eastAsia="en-GB"/>
              </w:rPr>
              <w:t>1 (c)</w:t>
            </w:r>
          </w:p>
        </w:tc>
        <w:tc>
          <w:tcPr>
            <w:tcW w:w="9124" w:type="dxa"/>
            <w:tcBorders>
              <w:top w:val="single" w:color="auto" w:sz="4" w:space="0"/>
              <w:left w:val="single" w:color="auto" w:sz="4" w:space="0"/>
              <w:bottom w:val="single" w:color="auto" w:sz="4" w:space="0"/>
              <w:right w:val="single" w:color="auto" w:sz="4" w:space="0"/>
            </w:tcBorders>
          </w:tcPr>
          <w:p w:rsidRPr="00C36A42" w:rsidR="00C027B6" w:rsidP="00C027B6" w:rsidRDefault="00C9308E" w14:paraId="3F365772" w14:textId="77777777">
            <w:pPr>
              <w:rPr>
                <w:rFonts w:cs="Arial"/>
                <w:sz w:val="22"/>
                <w:lang w:eastAsia="en-GB"/>
              </w:rPr>
            </w:pPr>
            <w:r w:rsidRPr="00C36A42">
              <w:rPr>
                <w:rFonts w:cs="Arial"/>
                <w:sz w:val="22"/>
                <w:lang w:eastAsia="en-GB"/>
              </w:rPr>
              <w:t xml:space="preserve">The total </w:t>
            </w:r>
            <w:r w:rsidRPr="00C36A42" w:rsidR="00272557">
              <w:rPr>
                <w:rFonts w:cs="Arial"/>
                <w:sz w:val="22"/>
                <w:lang w:eastAsia="en-GB"/>
              </w:rPr>
              <w:t xml:space="preserve">amount of CIL receipts, </w:t>
            </w:r>
            <w:r w:rsidRPr="00C36A42" w:rsidR="00272557">
              <w:rPr>
                <w:rFonts w:cs="Arial"/>
                <w:sz w:val="22"/>
              </w:rPr>
              <w:t xml:space="preserve">collected by the authority, or by another person on its behalf, before the reported year but which have not been allocated  </w:t>
            </w:r>
            <w:r w:rsidRPr="00C36A42" w:rsidR="00272557">
              <w:rPr>
                <w:rFonts w:cs="Arial"/>
                <w:sz w:val="22"/>
                <w:lang w:eastAsia="en-GB"/>
              </w:rPr>
              <w:t xml:space="preserve"> </w:t>
            </w:r>
          </w:p>
          <w:p w:rsidRPr="00C36A42" w:rsidR="006F6F61" w:rsidP="00C027B6" w:rsidRDefault="006F6F61" w14:paraId="6B5B8011" w14:textId="00EDD5F9">
            <w:pPr>
              <w:rPr>
                <w:rFonts w:cs="Arial"/>
                <w:sz w:val="22"/>
                <w:lang w:eastAsia="en-GB"/>
              </w:rPr>
            </w:pPr>
          </w:p>
        </w:tc>
        <w:tc>
          <w:tcPr>
            <w:tcW w:w="3118" w:type="dxa"/>
            <w:tcBorders>
              <w:top w:val="single" w:color="auto" w:sz="4" w:space="0"/>
              <w:left w:val="single" w:color="auto" w:sz="4" w:space="0"/>
              <w:bottom w:val="single" w:color="auto" w:sz="4" w:space="0"/>
              <w:right w:val="single" w:color="auto" w:sz="4" w:space="0"/>
            </w:tcBorders>
          </w:tcPr>
          <w:p w:rsidRPr="00B74A4C" w:rsidR="00C027B6" w:rsidP="00C027B6" w:rsidRDefault="00B74A4C" w14:paraId="138AFD79" w14:textId="02C375F6">
            <w:pPr>
              <w:rPr>
                <w:rFonts w:cs="Arial"/>
                <w:sz w:val="22"/>
                <w:lang w:eastAsia="en-GB"/>
              </w:rPr>
            </w:pPr>
            <w:r w:rsidRPr="00B74A4C">
              <w:rPr>
                <w:rFonts w:eastAsia="Aptos" w:cs="Arial"/>
                <w:sz w:val="22"/>
              </w:rPr>
              <w:t>S</w:t>
            </w:r>
            <w:r w:rsidRPr="00B74A4C" w:rsidR="00C36A42">
              <w:rPr>
                <w:rFonts w:cs="Arial"/>
                <w:sz w:val="22"/>
                <w:lang w:eastAsia="en-GB"/>
              </w:rPr>
              <w:t xml:space="preserve">ee GNGB website for details </w:t>
            </w:r>
            <w:hyperlink w:history="1" r:id="rId12">
              <w:r w:rsidRPr="00B74A4C" w:rsidR="00C36A42">
                <w:rPr>
                  <w:rStyle w:val="Hyperlink"/>
                  <w:rFonts w:cs="Arial"/>
                  <w:color w:val="auto"/>
                  <w:sz w:val="22"/>
                </w:rPr>
                <w:t>here</w:t>
              </w:r>
            </w:hyperlink>
          </w:p>
        </w:tc>
      </w:tr>
      <w:tr w:rsidRPr="00C36A42" w:rsidR="00E06159" w:rsidTr="00C36A42" w14:paraId="318E0283" w14:textId="77777777">
        <w:tc>
          <w:tcPr>
            <w:tcW w:w="1537" w:type="dxa"/>
            <w:tcBorders>
              <w:top w:val="single" w:color="auto" w:sz="4" w:space="0"/>
              <w:left w:val="single" w:color="auto" w:sz="4" w:space="0"/>
              <w:bottom w:val="single" w:color="auto" w:sz="4" w:space="0"/>
              <w:right w:val="single" w:color="auto" w:sz="4" w:space="0"/>
            </w:tcBorders>
          </w:tcPr>
          <w:p w:rsidRPr="00C36A42" w:rsidR="00C027B6" w:rsidP="00C027B6" w:rsidRDefault="00272557" w14:paraId="4251090E" w14:textId="43C8D10A">
            <w:pPr>
              <w:rPr>
                <w:rFonts w:cs="Arial"/>
                <w:sz w:val="22"/>
                <w:lang w:eastAsia="en-GB"/>
              </w:rPr>
            </w:pPr>
            <w:r w:rsidRPr="00C36A42">
              <w:rPr>
                <w:rFonts w:cs="Arial"/>
                <w:sz w:val="22"/>
                <w:lang w:eastAsia="en-GB"/>
              </w:rPr>
              <w:t xml:space="preserve">1 (d) </w:t>
            </w:r>
          </w:p>
        </w:tc>
        <w:tc>
          <w:tcPr>
            <w:tcW w:w="9124" w:type="dxa"/>
            <w:tcBorders>
              <w:top w:val="single" w:color="auto" w:sz="4" w:space="0"/>
              <w:left w:val="single" w:color="auto" w:sz="4" w:space="0"/>
              <w:bottom w:val="single" w:color="auto" w:sz="4" w:space="0"/>
              <w:right w:val="single" w:color="auto" w:sz="4" w:space="0"/>
            </w:tcBorders>
          </w:tcPr>
          <w:p w:rsidRPr="00C36A42" w:rsidR="00C027B6" w:rsidP="00272557" w:rsidRDefault="00272557" w14:paraId="59D9AF3D" w14:textId="77777777">
            <w:pPr>
              <w:rPr>
                <w:rFonts w:cs="Arial"/>
                <w:sz w:val="22"/>
                <w:lang w:eastAsia="en-GB"/>
              </w:rPr>
            </w:pPr>
            <w:r w:rsidRPr="00C36A42">
              <w:rPr>
                <w:rFonts w:cs="Arial"/>
                <w:sz w:val="22"/>
                <w:lang w:eastAsia="en-GB"/>
              </w:rPr>
              <w:t>The total amount of CIL receipts, collected by the authority, or by another person on its behalf, before the reported year and which have been allocated in the reported year</w:t>
            </w:r>
          </w:p>
          <w:p w:rsidRPr="00C36A42" w:rsidR="00245AB6" w:rsidP="00272557" w:rsidRDefault="00245AB6" w14:paraId="39D534B4" w14:textId="2EFDCE22">
            <w:pPr>
              <w:rPr>
                <w:rFonts w:cs="Arial"/>
                <w:sz w:val="22"/>
                <w:lang w:eastAsia="en-GB"/>
              </w:rPr>
            </w:pPr>
          </w:p>
        </w:tc>
        <w:tc>
          <w:tcPr>
            <w:tcW w:w="3118" w:type="dxa"/>
            <w:tcBorders>
              <w:top w:val="single" w:color="auto" w:sz="4" w:space="0"/>
              <w:left w:val="single" w:color="auto" w:sz="4" w:space="0"/>
              <w:bottom w:val="single" w:color="auto" w:sz="4" w:space="0"/>
              <w:right w:val="single" w:color="auto" w:sz="4" w:space="0"/>
            </w:tcBorders>
          </w:tcPr>
          <w:p w:rsidRPr="00C36A42" w:rsidR="00C027B6" w:rsidP="00C027B6" w:rsidRDefault="009643EB" w14:paraId="7D86A5A7" w14:textId="7509C3E7">
            <w:pPr>
              <w:rPr>
                <w:rFonts w:cs="Arial"/>
                <w:sz w:val="22"/>
                <w:lang w:eastAsia="en-GB"/>
              </w:rPr>
            </w:pPr>
            <w:r w:rsidRPr="00B74A4C">
              <w:rPr>
                <w:rFonts w:eastAsia="Aptos" w:cs="Arial"/>
                <w:sz w:val="22"/>
              </w:rPr>
              <w:t xml:space="preserve">£86,356.20 </w:t>
            </w:r>
            <w:r>
              <w:rPr>
                <w:rFonts w:eastAsia="Aptos" w:cs="Arial"/>
                <w:sz w:val="22"/>
              </w:rPr>
              <w:t xml:space="preserve">received prior to 2021 </w:t>
            </w:r>
            <w:r w:rsidR="00276326">
              <w:rPr>
                <w:rFonts w:eastAsia="Aptos" w:cs="Arial"/>
                <w:sz w:val="22"/>
              </w:rPr>
              <w:t xml:space="preserve">formed an additional payment </w:t>
            </w:r>
            <w:r w:rsidRPr="00B74A4C">
              <w:rPr>
                <w:rFonts w:eastAsia="Aptos" w:cs="Arial"/>
                <w:sz w:val="22"/>
              </w:rPr>
              <w:t xml:space="preserve">to the GNGB. </w:t>
            </w:r>
            <w:r>
              <w:rPr>
                <w:rFonts w:eastAsia="Aptos" w:cs="Arial"/>
                <w:sz w:val="22"/>
              </w:rPr>
              <w:t>S</w:t>
            </w:r>
            <w:r w:rsidRPr="00C36A42" w:rsidR="00C36A42">
              <w:rPr>
                <w:rFonts w:cs="Arial"/>
                <w:sz w:val="22"/>
                <w:lang w:eastAsia="en-GB"/>
              </w:rPr>
              <w:t xml:space="preserve">ee GNGB website for details </w:t>
            </w:r>
            <w:hyperlink w:history="1" r:id="rId13">
              <w:r w:rsidRPr="00C36A42" w:rsidR="00C36A42">
                <w:rPr>
                  <w:rStyle w:val="Hyperlink"/>
                  <w:rFonts w:cs="Arial"/>
                  <w:sz w:val="22"/>
                </w:rPr>
                <w:t>here</w:t>
              </w:r>
            </w:hyperlink>
          </w:p>
        </w:tc>
      </w:tr>
      <w:tr w:rsidRPr="00C36A42" w:rsidR="00E06159" w:rsidTr="00C36A42" w14:paraId="37DA2B5B" w14:textId="77777777">
        <w:tc>
          <w:tcPr>
            <w:tcW w:w="1537" w:type="dxa"/>
            <w:tcBorders>
              <w:top w:val="single" w:color="auto" w:sz="4" w:space="0"/>
              <w:left w:val="single" w:color="auto" w:sz="4" w:space="0"/>
              <w:bottom w:val="single" w:color="auto" w:sz="4" w:space="0"/>
              <w:right w:val="single" w:color="auto" w:sz="4" w:space="0"/>
            </w:tcBorders>
          </w:tcPr>
          <w:p w:rsidRPr="00C36A42" w:rsidR="00C027B6" w:rsidP="00C027B6" w:rsidRDefault="00272557" w14:paraId="30032565" w14:textId="24F9600C">
            <w:pPr>
              <w:rPr>
                <w:rFonts w:cs="Arial"/>
                <w:sz w:val="22"/>
                <w:lang w:eastAsia="en-GB"/>
              </w:rPr>
            </w:pPr>
            <w:r w:rsidRPr="00C36A42">
              <w:rPr>
                <w:rFonts w:cs="Arial"/>
                <w:sz w:val="22"/>
                <w:lang w:eastAsia="en-GB"/>
              </w:rPr>
              <w:t xml:space="preserve">1 (e) </w:t>
            </w:r>
          </w:p>
        </w:tc>
        <w:tc>
          <w:tcPr>
            <w:tcW w:w="9124" w:type="dxa"/>
            <w:tcBorders>
              <w:top w:val="single" w:color="auto" w:sz="4" w:space="0"/>
              <w:left w:val="single" w:color="auto" w:sz="4" w:space="0"/>
              <w:bottom w:val="single" w:color="auto" w:sz="4" w:space="0"/>
              <w:right w:val="single" w:color="auto" w:sz="4" w:space="0"/>
            </w:tcBorders>
          </w:tcPr>
          <w:p w:rsidRPr="00C36A42" w:rsidR="00272557" w:rsidP="00272557" w:rsidRDefault="00272557" w14:paraId="0A962AC2" w14:textId="77777777">
            <w:pPr>
              <w:rPr>
                <w:rFonts w:cs="Arial"/>
                <w:sz w:val="22"/>
                <w:lang w:eastAsia="en-GB"/>
              </w:rPr>
            </w:pPr>
            <w:r w:rsidRPr="00C36A42">
              <w:rPr>
                <w:rFonts w:cs="Arial"/>
                <w:sz w:val="22"/>
                <w:lang w:eastAsia="en-GB"/>
              </w:rPr>
              <w:t>The total amount of CIL expenditure for the reported year</w:t>
            </w:r>
          </w:p>
          <w:p w:rsidRPr="00C36A42" w:rsidR="00245AB6" w:rsidP="00272557" w:rsidRDefault="00245AB6" w14:paraId="03BE6A50" w14:textId="0F249C8B">
            <w:pPr>
              <w:rPr>
                <w:rFonts w:cs="Arial"/>
                <w:sz w:val="22"/>
                <w:lang w:eastAsia="en-GB"/>
              </w:rPr>
            </w:pPr>
          </w:p>
        </w:tc>
        <w:tc>
          <w:tcPr>
            <w:tcW w:w="3118" w:type="dxa"/>
            <w:tcBorders>
              <w:top w:val="single" w:color="auto" w:sz="4" w:space="0"/>
              <w:left w:val="single" w:color="auto" w:sz="4" w:space="0"/>
              <w:bottom w:val="single" w:color="auto" w:sz="4" w:space="0"/>
              <w:right w:val="single" w:color="auto" w:sz="4" w:space="0"/>
            </w:tcBorders>
          </w:tcPr>
          <w:p w:rsidRPr="00C36A42" w:rsidR="00C027B6" w:rsidP="00C027B6" w:rsidRDefault="009822AB" w14:paraId="3B0131A4" w14:textId="78D9DA23">
            <w:pPr>
              <w:rPr>
                <w:rFonts w:cs="Arial"/>
                <w:sz w:val="22"/>
                <w:lang w:eastAsia="en-GB"/>
              </w:rPr>
            </w:pPr>
            <w:r>
              <w:rPr>
                <w:rFonts w:cs="Arial"/>
                <w:sz w:val="22"/>
                <w:lang w:eastAsia="en-GB"/>
              </w:rPr>
              <w:t>£1,811,773.19</w:t>
            </w:r>
            <w:r w:rsidR="00184038">
              <w:rPr>
                <w:rFonts w:cs="Arial"/>
                <w:sz w:val="22"/>
                <w:lang w:eastAsia="en-GB"/>
              </w:rPr>
              <w:t xml:space="preserve"> (includes the </w:t>
            </w:r>
            <w:r w:rsidRPr="00184038" w:rsidR="00184038">
              <w:rPr>
                <w:rFonts w:cs="Arial"/>
                <w:sz w:val="22"/>
                <w:lang w:eastAsia="en-GB"/>
              </w:rPr>
              <w:t>£86,356.20</w:t>
            </w:r>
            <w:r w:rsidR="007E4B7F">
              <w:rPr>
                <w:rFonts w:cs="Arial"/>
                <w:sz w:val="22"/>
                <w:lang w:eastAsia="en-GB"/>
              </w:rPr>
              <w:t xml:space="preserve"> at 1 (d) above</w:t>
            </w:r>
            <w:r w:rsidR="009916D0">
              <w:rPr>
                <w:rFonts w:cs="Arial"/>
                <w:sz w:val="22"/>
                <w:lang w:eastAsia="en-GB"/>
              </w:rPr>
              <w:t>)</w:t>
            </w:r>
            <w:r w:rsidR="007E4B7F">
              <w:rPr>
                <w:rFonts w:cs="Arial"/>
                <w:sz w:val="22"/>
                <w:lang w:eastAsia="en-GB"/>
              </w:rPr>
              <w:t xml:space="preserve"> </w:t>
            </w:r>
            <w:commentRangeStart w:id="3"/>
            <w:r w:rsidRPr="00C36A42" w:rsidR="00C36A42">
              <w:rPr>
                <w:rFonts w:cs="Arial"/>
                <w:sz w:val="22"/>
                <w:lang w:eastAsia="en-GB"/>
              </w:rPr>
              <w:t>p</w:t>
            </w:r>
            <w:r w:rsidRPr="00C36A42" w:rsidR="00651401">
              <w:rPr>
                <w:rFonts w:cs="Arial"/>
                <w:sz w:val="22"/>
                <w:lang w:eastAsia="en-GB"/>
              </w:rPr>
              <w:t>assed</w:t>
            </w:r>
            <w:commentRangeEnd w:id="3"/>
            <w:r w:rsidR="008E6A9B">
              <w:rPr>
                <w:rStyle w:val="CommentReference"/>
                <w:rFonts w:asciiTheme="minorHAnsi" w:hAnsiTheme="minorHAnsi" w:eastAsiaTheme="minorHAnsi" w:cstheme="minorBidi"/>
              </w:rPr>
              <w:commentReference w:id="3"/>
            </w:r>
            <w:r w:rsidRPr="00C36A42" w:rsidR="00651401">
              <w:rPr>
                <w:rFonts w:cs="Arial"/>
                <w:sz w:val="22"/>
                <w:lang w:eastAsia="en-GB"/>
              </w:rPr>
              <w:t xml:space="preserve"> to GNGB</w:t>
            </w:r>
            <w:r w:rsidRPr="00C36A42" w:rsidR="00C36A42">
              <w:rPr>
                <w:rFonts w:cs="Arial"/>
                <w:sz w:val="22"/>
                <w:lang w:eastAsia="en-GB"/>
              </w:rPr>
              <w:t>, Parishes &amp; admin)</w:t>
            </w:r>
          </w:p>
        </w:tc>
      </w:tr>
      <w:tr w:rsidRPr="00C36A42" w:rsidR="00E06159" w:rsidTr="00C36A42" w14:paraId="5D95F3E2" w14:textId="77777777">
        <w:tc>
          <w:tcPr>
            <w:tcW w:w="1537" w:type="dxa"/>
            <w:tcBorders>
              <w:top w:val="single" w:color="auto" w:sz="4" w:space="0"/>
              <w:left w:val="single" w:color="auto" w:sz="4" w:space="0"/>
              <w:bottom w:val="single" w:color="auto" w:sz="4" w:space="0"/>
              <w:right w:val="single" w:color="auto" w:sz="4" w:space="0"/>
            </w:tcBorders>
          </w:tcPr>
          <w:p w:rsidRPr="00C36A42" w:rsidR="00C027B6" w:rsidP="00C027B6" w:rsidRDefault="00272557" w14:paraId="47BE268A" w14:textId="7BC4A64D">
            <w:pPr>
              <w:rPr>
                <w:rFonts w:cs="Arial"/>
                <w:sz w:val="22"/>
                <w:lang w:eastAsia="en-GB"/>
              </w:rPr>
            </w:pPr>
            <w:r w:rsidRPr="00C36A42">
              <w:rPr>
                <w:rFonts w:cs="Arial"/>
                <w:sz w:val="22"/>
                <w:lang w:eastAsia="en-GB"/>
              </w:rPr>
              <w:t>1 (f)</w:t>
            </w:r>
          </w:p>
        </w:tc>
        <w:tc>
          <w:tcPr>
            <w:tcW w:w="9124" w:type="dxa"/>
            <w:tcBorders>
              <w:top w:val="single" w:color="auto" w:sz="4" w:space="0"/>
              <w:left w:val="single" w:color="auto" w:sz="4" w:space="0"/>
              <w:bottom w:val="single" w:color="auto" w:sz="4" w:space="0"/>
              <w:right w:val="single" w:color="auto" w:sz="4" w:space="0"/>
            </w:tcBorders>
          </w:tcPr>
          <w:p w:rsidRPr="00C36A42" w:rsidR="00245AB6" w:rsidP="00245AB6" w:rsidRDefault="00272557" w14:paraId="64D945DC" w14:textId="3BB0C908">
            <w:pPr>
              <w:rPr>
                <w:rFonts w:cs="Arial"/>
                <w:sz w:val="22"/>
                <w:lang w:eastAsia="en-GB"/>
              </w:rPr>
            </w:pPr>
            <w:r w:rsidRPr="00C36A42">
              <w:rPr>
                <w:rFonts w:cs="Arial"/>
                <w:sz w:val="22"/>
                <w:lang w:eastAsia="en-GB"/>
              </w:rPr>
              <w:t>The total amount of CIL receipts, whenever collected, which were allocated but not spent during the reported year</w:t>
            </w:r>
          </w:p>
        </w:tc>
        <w:tc>
          <w:tcPr>
            <w:tcW w:w="3118" w:type="dxa"/>
            <w:tcBorders>
              <w:top w:val="single" w:color="auto" w:sz="4" w:space="0"/>
              <w:left w:val="single" w:color="auto" w:sz="4" w:space="0"/>
              <w:bottom w:val="single" w:color="auto" w:sz="4" w:space="0"/>
              <w:right w:val="single" w:color="auto" w:sz="4" w:space="0"/>
            </w:tcBorders>
          </w:tcPr>
          <w:p w:rsidRPr="00C36A42" w:rsidR="00C027B6" w:rsidP="00C027B6" w:rsidRDefault="000A254B" w14:paraId="7E59FEEE" w14:textId="35632084">
            <w:pPr>
              <w:rPr>
                <w:rFonts w:cs="Arial"/>
                <w:sz w:val="22"/>
                <w:lang w:eastAsia="en-GB"/>
              </w:rPr>
            </w:pPr>
            <w:r>
              <w:rPr>
                <w:rFonts w:cs="Arial"/>
                <w:sz w:val="22"/>
                <w:lang w:eastAsia="en-GB"/>
              </w:rPr>
              <w:t xml:space="preserve">See GNGB website for details </w:t>
            </w:r>
            <w:hyperlink w:history="1" r:id="rId14">
              <w:r w:rsidRPr="00C36A42">
                <w:rPr>
                  <w:rStyle w:val="Hyperlink"/>
                  <w:rFonts w:cs="Arial"/>
                  <w:szCs w:val="24"/>
                </w:rPr>
                <w:t>here</w:t>
              </w:r>
            </w:hyperlink>
          </w:p>
        </w:tc>
      </w:tr>
      <w:tr w:rsidRPr="00C36A42" w:rsidR="00E06159" w:rsidTr="00C36A42" w14:paraId="596EFCC2" w14:textId="77777777">
        <w:tc>
          <w:tcPr>
            <w:tcW w:w="1537" w:type="dxa"/>
            <w:tcBorders>
              <w:top w:val="single" w:color="auto" w:sz="4" w:space="0"/>
              <w:left w:val="single" w:color="auto" w:sz="4" w:space="0"/>
              <w:bottom w:val="single" w:color="auto" w:sz="4" w:space="0"/>
              <w:right w:val="single" w:color="auto" w:sz="4" w:space="0"/>
            </w:tcBorders>
          </w:tcPr>
          <w:p w:rsidRPr="00C36A42" w:rsidR="00C027B6" w:rsidP="00C027B6" w:rsidRDefault="00272557" w14:paraId="5CBA1604" w14:textId="00582DE8">
            <w:pPr>
              <w:rPr>
                <w:rFonts w:cs="Arial"/>
                <w:sz w:val="22"/>
                <w:lang w:eastAsia="en-GB"/>
              </w:rPr>
            </w:pPr>
            <w:r w:rsidRPr="00C36A42">
              <w:rPr>
                <w:rFonts w:cs="Arial"/>
                <w:sz w:val="22"/>
                <w:lang w:eastAsia="en-GB"/>
              </w:rPr>
              <w:t xml:space="preserve">1 (g) </w:t>
            </w:r>
          </w:p>
        </w:tc>
        <w:tc>
          <w:tcPr>
            <w:tcW w:w="9124" w:type="dxa"/>
            <w:tcBorders>
              <w:top w:val="single" w:color="auto" w:sz="4" w:space="0"/>
              <w:left w:val="single" w:color="auto" w:sz="4" w:space="0"/>
              <w:bottom w:val="single" w:color="auto" w:sz="4" w:space="0"/>
              <w:right w:val="single" w:color="auto" w:sz="4" w:space="0"/>
            </w:tcBorders>
          </w:tcPr>
          <w:p w:rsidRPr="00C36A42" w:rsidR="00C027B6" w:rsidP="00C027B6" w:rsidRDefault="00272557" w14:paraId="5F44324A" w14:textId="77777777">
            <w:pPr>
              <w:rPr>
                <w:rFonts w:cs="Arial"/>
                <w:sz w:val="22"/>
                <w:lang w:eastAsia="en-GB"/>
              </w:rPr>
            </w:pPr>
            <w:r w:rsidRPr="00C36A42">
              <w:rPr>
                <w:rFonts w:cs="Arial"/>
                <w:sz w:val="22"/>
                <w:lang w:eastAsia="en-GB"/>
              </w:rPr>
              <w:t xml:space="preserve">In relation to CIL expenditure for the reported year, summary details of- </w:t>
            </w:r>
          </w:p>
          <w:p w:rsidRPr="00C36A42" w:rsidR="00245AB6" w:rsidP="00C027B6" w:rsidRDefault="00245AB6" w14:paraId="69EB8D63" w14:textId="081D1891">
            <w:pPr>
              <w:rPr>
                <w:rFonts w:cs="Arial"/>
                <w:sz w:val="22"/>
                <w:lang w:eastAsia="en-GB"/>
              </w:rPr>
            </w:pPr>
          </w:p>
        </w:tc>
        <w:tc>
          <w:tcPr>
            <w:tcW w:w="3118" w:type="dxa"/>
            <w:tcBorders>
              <w:top w:val="single" w:color="auto" w:sz="4" w:space="0"/>
              <w:left w:val="single" w:color="auto" w:sz="4" w:space="0"/>
              <w:bottom w:val="single" w:color="auto" w:sz="4" w:space="0"/>
              <w:right w:val="single" w:color="auto" w:sz="4" w:space="0"/>
            </w:tcBorders>
          </w:tcPr>
          <w:p w:rsidRPr="00C36A42" w:rsidR="00C027B6" w:rsidP="00E06159" w:rsidRDefault="00C027B6" w14:paraId="0C9C0B6D" w14:textId="71608AD9">
            <w:pPr>
              <w:rPr>
                <w:rFonts w:cs="Arial"/>
                <w:sz w:val="22"/>
                <w:lang w:eastAsia="en-GB"/>
              </w:rPr>
            </w:pPr>
          </w:p>
        </w:tc>
      </w:tr>
      <w:tr w:rsidRPr="00C36A42" w:rsidR="00E06159" w:rsidTr="00C36A42" w14:paraId="3B3A827E" w14:textId="77777777">
        <w:tc>
          <w:tcPr>
            <w:tcW w:w="1537" w:type="dxa"/>
            <w:tcBorders>
              <w:top w:val="single" w:color="auto" w:sz="4" w:space="0"/>
              <w:left w:val="single" w:color="auto" w:sz="4" w:space="0"/>
              <w:bottom w:val="single" w:color="auto" w:sz="4" w:space="0"/>
              <w:right w:val="single" w:color="auto" w:sz="4" w:space="0"/>
            </w:tcBorders>
          </w:tcPr>
          <w:p w:rsidRPr="00C36A42" w:rsidR="00C027B6" w:rsidP="00C027B6" w:rsidRDefault="00C027B6" w14:paraId="11E3861B" w14:textId="559DA899">
            <w:pPr>
              <w:rPr>
                <w:rFonts w:cs="Arial"/>
                <w:sz w:val="22"/>
                <w:lang w:eastAsia="en-GB"/>
              </w:rPr>
            </w:pPr>
          </w:p>
        </w:tc>
        <w:tc>
          <w:tcPr>
            <w:tcW w:w="9124" w:type="dxa"/>
            <w:tcBorders>
              <w:top w:val="single" w:color="auto" w:sz="4" w:space="0"/>
              <w:left w:val="single" w:color="auto" w:sz="4" w:space="0"/>
              <w:bottom w:val="single" w:color="auto" w:sz="4" w:space="0"/>
              <w:right w:val="single" w:color="auto" w:sz="4" w:space="0"/>
            </w:tcBorders>
          </w:tcPr>
          <w:p w:rsidRPr="00C36A42" w:rsidR="00272557" w:rsidP="00272557" w:rsidRDefault="00272557" w14:paraId="4CB1C4F0" w14:textId="77777777">
            <w:pPr>
              <w:pStyle w:val="ListParagraph"/>
              <w:numPr>
                <w:ilvl w:val="0"/>
                <w:numId w:val="1"/>
              </w:numPr>
              <w:rPr>
                <w:rFonts w:cs="Arial"/>
                <w:sz w:val="22"/>
                <w:lang w:eastAsia="en-GB"/>
              </w:rPr>
            </w:pPr>
            <w:r w:rsidRPr="00C36A42">
              <w:rPr>
                <w:rFonts w:cs="Arial"/>
                <w:sz w:val="22"/>
                <w:lang w:eastAsia="en-GB"/>
              </w:rPr>
              <w:t>The items of infrastructure on which CIL (including land payments) has been spent and the amount of CIL spent on each item</w:t>
            </w:r>
          </w:p>
          <w:p w:rsidRPr="00C36A42" w:rsidR="00245AB6" w:rsidP="00245AB6" w:rsidRDefault="00245AB6" w14:paraId="609C754D" w14:textId="0B51658F">
            <w:pPr>
              <w:rPr>
                <w:rFonts w:cs="Arial"/>
                <w:sz w:val="22"/>
                <w:lang w:eastAsia="en-GB"/>
              </w:rPr>
            </w:pPr>
          </w:p>
        </w:tc>
        <w:tc>
          <w:tcPr>
            <w:tcW w:w="3118" w:type="dxa"/>
            <w:tcBorders>
              <w:top w:val="single" w:color="auto" w:sz="4" w:space="0"/>
              <w:left w:val="single" w:color="auto" w:sz="4" w:space="0"/>
              <w:bottom w:val="single" w:color="auto" w:sz="4" w:space="0"/>
              <w:right w:val="single" w:color="auto" w:sz="4" w:space="0"/>
            </w:tcBorders>
          </w:tcPr>
          <w:p w:rsidRPr="00C36A42" w:rsidR="00C027B6" w:rsidP="00C027B6" w:rsidRDefault="00651401" w14:paraId="6D4CED5A" w14:textId="36E34983">
            <w:pPr>
              <w:rPr>
                <w:rFonts w:cs="Arial"/>
                <w:sz w:val="22"/>
                <w:lang w:eastAsia="en-GB"/>
              </w:rPr>
            </w:pPr>
            <w:r w:rsidRPr="00C36A42">
              <w:rPr>
                <w:rFonts w:cs="Arial"/>
                <w:sz w:val="22"/>
                <w:lang w:eastAsia="en-GB"/>
              </w:rPr>
              <w:t xml:space="preserve">See GNGB website for details </w:t>
            </w:r>
            <w:hyperlink w:history="1" r:id="rId15">
              <w:r w:rsidRPr="00C36A42" w:rsidR="000A254B">
                <w:rPr>
                  <w:rStyle w:val="Hyperlink"/>
                  <w:rFonts w:cs="Arial"/>
                  <w:szCs w:val="24"/>
                </w:rPr>
                <w:t>here</w:t>
              </w:r>
            </w:hyperlink>
          </w:p>
        </w:tc>
      </w:tr>
      <w:tr w:rsidRPr="00C36A42" w:rsidR="00E06159" w:rsidTr="00C36A42" w14:paraId="187E54E7" w14:textId="77777777">
        <w:tc>
          <w:tcPr>
            <w:tcW w:w="1537" w:type="dxa"/>
            <w:tcBorders>
              <w:top w:val="single" w:color="auto" w:sz="4" w:space="0"/>
              <w:left w:val="single" w:color="auto" w:sz="4" w:space="0"/>
              <w:bottom w:val="single" w:color="auto" w:sz="4" w:space="0"/>
              <w:right w:val="single" w:color="auto" w:sz="4" w:space="0"/>
            </w:tcBorders>
          </w:tcPr>
          <w:p w:rsidRPr="00C36A42" w:rsidR="00C027B6" w:rsidP="00C027B6" w:rsidRDefault="00C027B6" w14:paraId="4EACEBB9" w14:textId="6F7B3877">
            <w:pPr>
              <w:rPr>
                <w:rFonts w:cs="Arial"/>
                <w:sz w:val="22"/>
                <w:lang w:eastAsia="en-GB"/>
              </w:rPr>
            </w:pPr>
          </w:p>
        </w:tc>
        <w:tc>
          <w:tcPr>
            <w:tcW w:w="9124" w:type="dxa"/>
            <w:tcBorders>
              <w:top w:val="single" w:color="auto" w:sz="4" w:space="0"/>
              <w:left w:val="single" w:color="auto" w:sz="4" w:space="0"/>
              <w:bottom w:val="single" w:color="auto" w:sz="4" w:space="0"/>
              <w:right w:val="single" w:color="auto" w:sz="4" w:space="0"/>
            </w:tcBorders>
          </w:tcPr>
          <w:p w:rsidRPr="00C36A42" w:rsidR="00C027B6" w:rsidP="00272557" w:rsidRDefault="00272557" w14:paraId="5736E714" w14:textId="77777777">
            <w:pPr>
              <w:pStyle w:val="ListParagraph"/>
              <w:numPr>
                <w:ilvl w:val="0"/>
                <w:numId w:val="1"/>
              </w:numPr>
              <w:rPr>
                <w:rFonts w:cs="Arial"/>
                <w:sz w:val="22"/>
                <w:lang w:eastAsia="en-GB"/>
              </w:rPr>
            </w:pPr>
            <w:r w:rsidRPr="00C36A42">
              <w:rPr>
                <w:rFonts w:cs="Arial"/>
                <w:sz w:val="22"/>
                <w:lang w:eastAsia="en-GB"/>
              </w:rPr>
              <w:t xml:space="preserve">The amount of CIL spent on repaying money borrowed, including any interest, with details of the items of infrastructure which that money was used to provide (wholly or in part)    </w:t>
            </w:r>
          </w:p>
          <w:p w:rsidRPr="00C36A42" w:rsidR="00245AB6" w:rsidP="00245AB6" w:rsidRDefault="00245AB6" w14:paraId="5ADBEAC7" w14:textId="4835E8F5">
            <w:pPr>
              <w:rPr>
                <w:rFonts w:cs="Arial"/>
                <w:sz w:val="22"/>
                <w:lang w:eastAsia="en-GB"/>
              </w:rPr>
            </w:pPr>
          </w:p>
        </w:tc>
        <w:tc>
          <w:tcPr>
            <w:tcW w:w="3118" w:type="dxa"/>
            <w:tcBorders>
              <w:top w:val="single" w:color="auto" w:sz="4" w:space="0"/>
              <w:left w:val="single" w:color="auto" w:sz="4" w:space="0"/>
              <w:bottom w:val="single" w:color="auto" w:sz="4" w:space="0"/>
              <w:right w:val="single" w:color="auto" w:sz="4" w:space="0"/>
            </w:tcBorders>
          </w:tcPr>
          <w:p w:rsidRPr="00C36A42" w:rsidR="00C027B6" w:rsidP="00C027B6" w:rsidRDefault="00651401" w14:paraId="41CAB493" w14:textId="30EC5970">
            <w:pPr>
              <w:rPr>
                <w:rFonts w:cs="Arial"/>
                <w:sz w:val="22"/>
                <w:lang w:eastAsia="en-GB"/>
              </w:rPr>
            </w:pPr>
            <w:r w:rsidRPr="00C36A42">
              <w:rPr>
                <w:rFonts w:cs="Arial"/>
                <w:sz w:val="22"/>
                <w:lang w:eastAsia="en-GB"/>
              </w:rPr>
              <w:t>See GNGB website for details</w:t>
            </w:r>
            <w:r w:rsidR="000A254B">
              <w:rPr>
                <w:rFonts w:cs="Arial"/>
                <w:sz w:val="22"/>
                <w:lang w:eastAsia="en-GB"/>
              </w:rPr>
              <w:t xml:space="preserve"> </w:t>
            </w:r>
            <w:hyperlink w:history="1" r:id="rId16">
              <w:r w:rsidRPr="00C36A42" w:rsidR="000A254B">
                <w:rPr>
                  <w:rStyle w:val="Hyperlink"/>
                  <w:rFonts w:cs="Arial"/>
                  <w:szCs w:val="24"/>
                </w:rPr>
                <w:t>here</w:t>
              </w:r>
            </w:hyperlink>
            <w:r w:rsidRPr="00C36A42">
              <w:rPr>
                <w:rFonts w:cs="Arial"/>
                <w:sz w:val="22"/>
                <w:lang w:eastAsia="en-GB"/>
              </w:rPr>
              <w:t xml:space="preserve"> </w:t>
            </w:r>
          </w:p>
        </w:tc>
      </w:tr>
      <w:tr w:rsidRPr="00C36A42" w:rsidR="00E06159" w:rsidTr="00C36A42" w14:paraId="6D569C6F" w14:textId="77777777">
        <w:tc>
          <w:tcPr>
            <w:tcW w:w="1537" w:type="dxa"/>
            <w:tcBorders>
              <w:top w:val="single" w:color="auto" w:sz="4" w:space="0"/>
              <w:left w:val="single" w:color="auto" w:sz="4" w:space="0"/>
              <w:bottom w:val="single" w:color="auto" w:sz="4" w:space="0"/>
              <w:right w:val="single" w:color="auto" w:sz="4" w:space="0"/>
            </w:tcBorders>
          </w:tcPr>
          <w:p w:rsidRPr="00C36A42" w:rsidR="00C027B6" w:rsidP="00C027B6" w:rsidRDefault="00C027B6" w14:paraId="418BF22B" w14:textId="7B1351D1">
            <w:pPr>
              <w:rPr>
                <w:rFonts w:cs="Arial"/>
                <w:sz w:val="22"/>
                <w:lang w:eastAsia="en-GB"/>
              </w:rPr>
            </w:pPr>
          </w:p>
        </w:tc>
        <w:tc>
          <w:tcPr>
            <w:tcW w:w="9124" w:type="dxa"/>
            <w:tcBorders>
              <w:top w:val="single" w:color="auto" w:sz="4" w:space="0"/>
              <w:left w:val="single" w:color="auto" w:sz="4" w:space="0"/>
              <w:bottom w:val="single" w:color="auto" w:sz="4" w:space="0"/>
              <w:right w:val="single" w:color="auto" w:sz="4" w:space="0"/>
            </w:tcBorders>
          </w:tcPr>
          <w:p w:rsidRPr="00C36A42" w:rsidR="00C027B6" w:rsidP="00272557" w:rsidRDefault="00CC2F8D" w14:paraId="2E9DCDE2" w14:textId="5B46F95A">
            <w:pPr>
              <w:pStyle w:val="ListParagraph"/>
              <w:numPr>
                <w:ilvl w:val="0"/>
                <w:numId w:val="1"/>
              </w:numPr>
              <w:rPr>
                <w:rFonts w:cs="Arial"/>
                <w:sz w:val="22"/>
                <w:lang w:eastAsia="en-GB"/>
              </w:rPr>
            </w:pPr>
            <w:r w:rsidRPr="00C36A42">
              <w:rPr>
                <w:rFonts w:cs="Arial"/>
                <w:sz w:val="22"/>
                <w:lang w:eastAsia="en-GB"/>
              </w:rPr>
              <w:t xml:space="preserve">The amount of CIL spent on administrative expenses pursuant to regulation 61, and that amount expressed as a percentage of CIL collected in that year in accordance with the regulations </w:t>
            </w:r>
          </w:p>
          <w:p w:rsidRPr="00C36A42" w:rsidR="00245AB6" w:rsidP="00245AB6" w:rsidRDefault="00245AB6" w14:paraId="30D623B4" w14:textId="6548A2E3">
            <w:pPr>
              <w:rPr>
                <w:rFonts w:cs="Arial"/>
                <w:sz w:val="22"/>
                <w:lang w:eastAsia="en-GB"/>
              </w:rPr>
            </w:pPr>
          </w:p>
        </w:tc>
        <w:tc>
          <w:tcPr>
            <w:tcW w:w="3118" w:type="dxa"/>
            <w:tcBorders>
              <w:top w:val="single" w:color="auto" w:sz="4" w:space="0"/>
              <w:left w:val="single" w:color="auto" w:sz="4" w:space="0"/>
              <w:bottom w:val="single" w:color="auto" w:sz="4" w:space="0"/>
              <w:right w:val="single" w:color="auto" w:sz="4" w:space="0"/>
            </w:tcBorders>
          </w:tcPr>
          <w:p w:rsidRPr="00C36A42" w:rsidR="00C027B6" w:rsidP="00C027B6" w:rsidRDefault="00651401" w14:paraId="22248031" w14:textId="1D560EEE">
            <w:pPr>
              <w:rPr>
                <w:rFonts w:cs="Arial"/>
                <w:sz w:val="22"/>
                <w:lang w:eastAsia="en-GB"/>
              </w:rPr>
            </w:pPr>
            <w:r w:rsidRPr="00C36A42">
              <w:rPr>
                <w:rFonts w:cs="Arial"/>
                <w:sz w:val="22"/>
                <w:lang w:eastAsia="en-GB"/>
              </w:rPr>
              <w:t>£</w:t>
            </w:r>
            <w:r w:rsidRPr="002B1EA5" w:rsidR="002B1EA5">
              <w:rPr>
                <w:rFonts w:cs="Arial"/>
                <w:sz w:val="22"/>
                <w:lang w:eastAsia="en-GB"/>
              </w:rPr>
              <w:t>8</w:t>
            </w:r>
            <w:r w:rsidR="00832675">
              <w:rPr>
                <w:rFonts w:cs="Arial"/>
                <w:sz w:val="22"/>
                <w:lang w:eastAsia="en-GB"/>
              </w:rPr>
              <w:t>6</w:t>
            </w:r>
            <w:r w:rsidR="001D23EE">
              <w:rPr>
                <w:rFonts w:cs="Arial"/>
                <w:sz w:val="22"/>
                <w:lang w:eastAsia="en-GB"/>
              </w:rPr>
              <w:t>,</w:t>
            </w:r>
            <w:r w:rsidR="00832675">
              <w:rPr>
                <w:rFonts w:cs="Arial"/>
                <w:sz w:val="22"/>
                <w:lang w:eastAsia="en-GB"/>
              </w:rPr>
              <w:t>270</w:t>
            </w:r>
            <w:r w:rsidR="001D23EE">
              <w:rPr>
                <w:rFonts w:cs="Arial"/>
                <w:sz w:val="22"/>
                <w:lang w:eastAsia="en-GB"/>
              </w:rPr>
              <w:t>.8</w:t>
            </w:r>
            <w:r w:rsidR="00C373C1">
              <w:rPr>
                <w:rFonts w:cs="Arial"/>
                <w:sz w:val="22"/>
                <w:lang w:eastAsia="en-GB"/>
              </w:rPr>
              <w:t>5</w:t>
            </w:r>
            <w:r w:rsidRPr="00C36A42">
              <w:rPr>
                <w:rFonts w:cs="Arial"/>
                <w:sz w:val="22"/>
                <w:lang w:eastAsia="en-GB"/>
              </w:rPr>
              <w:t xml:space="preserve"> </w:t>
            </w:r>
            <w:r w:rsidR="000A254B">
              <w:rPr>
                <w:rFonts w:cs="Arial"/>
                <w:sz w:val="22"/>
                <w:lang w:eastAsia="en-GB"/>
              </w:rPr>
              <w:t>(</w:t>
            </w:r>
            <w:r w:rsidRPr="00C36A42">
              <w:rPr>
                <w:rFonts w:cs="Arial"/>
                <w:sz w:val="22"/>
                <w:lang w:eastAsia="en-GB"/>
              </w:rPr>
              <w:t>5% of total CIL collected</w:t>
            </w:r>
            <w:r w:rsidR="000A254B">
              <w:rPr>
                <w:rFonts w:cs="Arial"/>
                <w:sz w:val="22"/>
                <w:lang w:eastAsia="en-GB"/>
              </w:rPr>
              <w:t>)</w:t>
            </w:r>
            <w:r w:rsidRPr="00C36A42">
              <w:rPr>
                <w:rFonts w:cs="Arial"/>
                <w:sz w:val="22"/>
                <w:lang w:eastAsia="en-GB"/>
              </w:rPr>
              <w:t xml:space="preserve"> </w:t>
            </w:r>
          </w:p>
        </w:tc>
      </w:tr>
      <w:tr w:rsidRPr="00C36A42" w:rsidR="00E06159" w:rsidTr="00C36A42" w14:paraId="468CA60E" w14:textId="77777777">
        <w:tc>
          <w:tcPr>
            <w:tcW w:w="1537" w:type="dxa"/>
            <w:tcBorders>
              <w:top w:val="single" w:color="auto" w:sz="4" w:space="0"/>
              <w:left w:val="single" w:color="auto" w:sz="4" w:space="0"/>
              <w:bottom w:val="single" w:color="auto" w:sz="4" w:space="0"/>
              <w:right w:val="single" w:color="auto" w:sz="4" w:space="0"/>
            </w:tcBorders>
          </w:tcPr>
          <w:p w:rsidRPr="00C36A42" w:rsidR="00C027B6" w:rsidP="00C027B6" w:rsidRDefault="00CC2F8D" w14:paraId="2EBC36DA" w14:textId="32A92127">
            <w:pPr>
              <w:rPr>
                <w:rFonts w:cs="Arial"/>
                <w:sz w:val="22"/>
                <w:lang w:eastAsia="en-GB"/>
              </w:rPr>
            </w:pPr>
            <w:r w:rsidRPr="00C36A42">
              <w:rPr>
                <w:rFonts w:cs="Arial"/>
                <w:sz w:val="22"/>
                <w:lang w:eastAsia="en-GB"/>
              </w:rPr>
              <w:t xml:space="preserve">1 (h) </w:t>
            </w:r>
          </w:p>
        </w:tc>
        <w:tc>
          <w:tcPr>
            <w:tcW w:w="9124" w:type="dxa"/>
            <w:tcBorders>
              <w:top w:val="single" w:color="auto" w:sz="4" w:space="0"/>
              <w:left w:val="single" w:color="auto" w:sz="4" w:space="0"/>
              <w:bottom w:val="single" w:color="auto" w:sz="4" w:space="0"/>
              <w:right w:val="single" w:color="auto" w:sz="4" w:space="0"/>
            </w:tcBorders>
          </w:tcPr>
          <w:p w:rsidRPr="00C36A42" w:rsidR="00C027B6" w:rsidP="00C027B6" w:rsidRDefault="00CC2F8D" w14:paraId="75294EC8" w14:textId="77777777">
            <w:pPr>
              <w:rPr>
                <w:rFonts w:cs="Arial"/>
                <w:sz w:val="22"/>
                <w:lang w:eastAsia="en-GB"/>
              </w:rPr>
            </w:pPr>
            <w:r w:rsidRPr="00C36A42">
              <w:rPr>
                <w:rFonts w:cs="Arial"/>
                <w:sz w:val="22"/>
                <w:lang w:eastAsia="en-GB"/>
              </w:rPr>
              <w:t xml:space="preserve">In relation to CIL receipts, whenever collected, which were allocated but not spent during the reported year, summary details of the items of infrastructure on which CIL (including land payments) has been allocated and the amount of CIL allocated to each item.   </w:t>
            </w:r>
          </w:p>
          <w:p w:rsidRPr="00C36A42" w:rsidR="00245AB6" w:rsidP="00C027B6" w:rsidRDefault="00245AB6" w14:paraId="05910BA9" w14:textId="564A22E3">
            <w:pPr>
              <w:rPr>
                <w:rFonts w:cs="Arial"/>
                <w:sz w:val="22"/>
                <w:lang w:eastAsia="en-GB"/>
              </w:rPr>
            </w:pPr>
          </w:p>
        </w:tc>
        <w:tc>
          <w:tcPr>
            <w:tcW w:w="3118" w:type="dxa"/>
            <w:tcBorders>
              <w:top w:val="single" w:color="auto" w:sz="4" w:space="0"/>
              <w:left w:val="single" w:color="auto" w:sz="4" w:space="0"/>
              <w:bottom w:val="single" w:color="auto" w:sz="4" w:space="0"/>
              <w:right w:val="single" w:color="auto" w:sz="4" w:space="0"/>
            </w:tcBorders>
          </w:tcPr>
          <w:p w:rsidRPr="00C36A42" w:rsidR="00C027B6" w:rsidP="00C027B6" w:rsidRDefault="00651401" w14:paraId="28790A4B" w14:textId="1E2DC9EC">
            <w:pPr>
              <w:rPr>
                <w:rFonts w:cs="Arial"/>
                <w:sz w:val="22"/>
                <w:lang w:eastAsia="en-GB"/>
              </w:rPr>
            </w:pPr>
            <w:r w:rsidRPr="00C36A42">
              <w:rPr>
                <w:rFonts w:cs="Arial"/>
                <w:sz w:val="22"/>
                <w:lang w:eastAsia="en-GB"/>
              </w:rPr>
              <w:t>See GNGB website for details</w:t>
            </w:r>
            <w:r w:rsidR="000A254B">
              <w:rPr>
                <w:rFonts w:cs="Arial"/>
                <w:sz w:val="22"/>
                <w:lang w:eastAsia="en-GB"/>
              </w:rPr>
              <w:t xml:space="preserve"> </w:t>
            </w:r>
            <w:hyperlink w:history="1" r:id="rId17">
              <w:r w:rsidRPr="00C36A42" w:rsidR="000A254B">
                <w:rPr>
                  <w:rStyle w:val="Hyperlink"/>
                  <w:rFonts w:cs="Arial"/>
                  <w:szCs w:val="24"/>
                </w:rPr>
                <w:t>here</w:t>
              </w:r>
            </w:hyperlink>
            <w:r w:rsidR="000A254B">
              <w:rPr>
                <w:rFonts w:cs="Arial"/>
                <w:sz w:val="22"/>
                <w:lang w:eastAsia="en-GB"/>
              </w:rPr>
              <w:t xml:space="preserve"> </w:t>
            </w:r>
            <w:r w:rsidRPr="00C36A42">
              <w:rPr>
                <w:rFonts w:cs="Arial"/>
                <w:sz w:val="22"/>
                <w:lang w:eastAsia="en-GB"/>
              </w:rPr>
              <w:t xml:space="preserve"> </w:t>
            </w:r>
          </w:p>
        </w:tc>
      </w:tr>
      <w:tr w:rsidRPr="00C36A42" w:rsidR="00E06159" w:rsidTr="00C36A42" w14:paraId="01D993F0" w14:textId="77777777">
        <w:tc>
          <w:tcPr>
            <w:tcW w:w="1537" w:type="dxa"/>
            <w:tcBorders>
              <w:top w:val="single" w:color="auto" w:sz="4" w:space="0"/>
              <w:left w:val="single" w:color="auto" w:sz="4" w:space="0"/>
              <w:bottom w:val="single" w:color="auto" w:sz="4" w:space="0"/>
              <w:right w:val="single" w:color="auto" w:sz="4" w:space="0"/>
            </w:tcBorders>
          </w:tcPr>
          <w:p w:rsidRPr="00C36A42" w:rsidR="00C027B6" w:rsidP="00C027B6" w:rsidRDefault="00CC2F8D" w14:paraId="1CCB3384" w14:textId="52F53E13">
            <w:pPr>
              <w:rPr>
                <w:rFonts w:cs="Arial"/>
                <w:sz w:val="22"/>
                <w:lang w:eastAsia="en-GB"/>
              </w:rPr>
            </w:pPr>
            <w:r w:rsidRPr="00C36A42">
              <w:rPr>
                <w:rFonts w:cs="Arial"/>
                <w:sz w:val="22"/>
                <w:lang w:eastAsia="en-GB"/>
              </w:rPr>
              <w:t>1 (</w:t>
            </w:r>
            <w:proofErr w:type="spellStart"/>
            <w:r w:rsidRPr="00C36A42">
              <w:rPr>
                <w:rFonts w:cs="Arial"/>
                <w:sz w:val="22"/>
                <w:lang w:eastAsia="en-GB"/>
              </w:rPr>
              <w:t>i</w:t>
            </w:r>
            <w:proofErr w:type="spellEnd"/>
            <w:r w:rsidRPr="00C36A42">
              <w:rPr>
                <w:rFonts w:cs="Arial"/>
                <w:sz w:val="22"/>
                <w:lang w:eastAsia="en-GB"/>
              </w:rPr>
              <w:t xml:space="preserve">) </w:t>
            </w:r>
          </w:p>
        </w:tc>
        <w:tc>
          <w:tcPr>
            <w:tcW w:w="9124" w:type="dxa"/>
            <w:tcBorders>
              <w:top w:val="single" w:color="auto" w:sz="4" w:space="0"/>
              <w:left w:val="single" w:color="auto" w:sz="4" w:space="0"/>
              <w:bottom w:val="single" w:color="auto" w:sz="4" w:space="0"/>
              <w:right w:val="single" w:color="auto" w:sz="4" w:space="0"/>
            </w:tcBorders>
          </w:tcPr>
          <w:p w:rsidRPr="00C36A42" w:rsidR="00CC2F8D" w:rsidP="00CC2F8D" w:rsidRDefault="00CC2F8D" w14:paraId="04796F78" w14:textId="77777777">
            <w:pPr>
              <w:rPr>
                <w:rFonts w:cs="Arial"/>
                <w:sz w:val="22"/>
                <w:lang w:eastAsia="en-GB"/>
              </w:rPr>
            </w:pPr>
            <w:r w:rsidRPr="00C36A42">
              <w:rPr>
                <w:rFonts w:cs="Arial"/>
                <w:sz w:val="22"/>
                <w:lang w:eastAsia="en-GB"/>
              </w:rPr>
              <w:t xml:space="preserve">The amount of CIL passed to- </w:t>
            </w:r>
          </w:p>
          <w:p w:rsidRPr="00C36A42" w:rsidR="00245AB6" w:rsidP="00CC2F8D" w:rsidRDefault="00245AB6" w14:paraId="3A840CEB" w14:textId="4CC03336">
            <w:pPr>
              <w:rPr>
                <w:rFonts w:cs="Arial"/>
                <w:sz w:val="22"/>
                <w:lang w:eastAsia="en-GB"/>
              </w:rPr>
            </w:pPr>
          </w:p>
        </w:tc>
        <w:tc>
          <w:tcPr>
            <w:tcW w:w="3118" w:type="dxa"/>
            <w:tcBorders>
              <w:top w:val="single" w:color="auto" w:sz="4" w:space="0"/>
              <w:left w:val="single" w:color="auto" w:sz="4" w:space="0"/>
              <w:bottom w:val="single" w:color="auto" w:sz="4" w:space="0"/>
              <w:right w:val="single" w:color="auto" w:sz="4" w:space="0"/>
            </w:tcBorders>
          </w:tcPr>
          <w:p w:rsidRPr="00C36A42" w:rsidR="00C027B6" w:rsidP="00C027B6" w:rsidRDefault="00C027B6" w14:paraId="76F07586" w14:textId="29F01403">
            <w:pPr>
              <w:rPr>
                <w:rFonts w:cs="Arial"/>
                <w:sz w:val="22"/>
                <w:lang w:eastAsia="en-GB"/>
              </w:rPr>
            </w:pPr>
          </w:p>
        </w:tc>
      </w:tr>
      <w:tr w:rsidRPr="00C36A42" w:rsidR="00E06159" w:rsidTr="00C36A42" w14:paraId="65EE8342" w14:textId="77777777">
        <w:tc>
          <w:tcPr>
            <w:tcW w:w="1537" w:type="dxa"/>
            <w:tcBorders>
              <w:top w:val="single" w:color="auto" w:sz="4" w:space="0"/>
              <w:left w:val="single" w:color="auto" w:sz="4" w:space="0"/>
              <w:bottom w:val="single" w:color="auto" w:sz="4" w:space="0"/>
              <w:right w:val="single" w:color="auto" w:sz="4" w:space="0"/>
            </w:tcBorders>
          </w:tcPr>
          <w:p w:rsidRPr="00C36A42" w:rsidR="00C027B6" w:rsidP="00C027B6" w:rsidRDefault="00C027B6" w14:paraId="130D1437" w14:textId="0C7B97D6">
            <w:pPr>
              <w:rPr>
                <w:rFonts w:cs="Arial"/>
                <w:sz w:val="22"/>
                <w:lang w:eastAsia="en-GB"/>
              </w:rPr>
            </w:pPr>
          </w:p>
        </w:tc>
        <w:tc>
          <w:tcPr>
            <w:tcW w:w="9124" w:type="dxa"/>
            <w:tcBorders>
              <w:top w:val="single" w:color="auto" w:sz="4" w:space="0"/>
              <w:left w:val="single" w:color="auto" w:sz="4" w:space="0"/>
              <w:bottom w:val="single" w:color="auto" w:sz="4" w:space="0"/>
              <w:right w:val="single" w:color="auto" w:sz="4" w:space="0"/>
            </w:tcBorders>
          </w:tcPr>
          <w:p w:rsidRPr="00C36A42" w:rsidR="00C027B6" w:rsidP="00CC2F8D" w:rsidRDefault="00CC2F8D" w14:paraId="79500F3A" w14:textId="77777777">
            <w:pPr>
              <w:pStyle w:val="ListParagraph"/>
              <w:numPr>
                <w:ilvl w:val="0"/>
                <w:numId w:val="2"/>
              </w:numPr>
              <w:rPr>
                <w:rFonts w:cs="Arial"/>
                <w:sz w:val="22"/>
                <w:lang w:eastAsia="en-GB"/>
              </w:rPr>
            </w:pPr>
            <w:r w:rsidRPr="00C36A42">
              <w:rPr>
                <w:rFonts w:cs="Arial"/>
                <w:sz w:val="22"/>
                <w:lang w:eastAsia="en-GB"/>
              </w:rPr>
              <w:t xml:space="preserve">Any parish council under regulation 59A or 59B and </w:t>
            </w:r>
          </w:p>
          <w:p w:rsidRPr="00C36A42" w:rsidR="00245AB6" w:rsidP="00245AB6" w:rsidRDefault="00245AB6" w14:paraId="77CD3408" w14:textId="306A4E71">
            <w:pPr>
              <w:rPr>
                <w:rFonts w:cs="Arial"/>
                <w:sz w:val="22"/>
                <w:lang w:eastAsia="en-GB"/>
              </w:rPr>
            </w:pPr>
          </w:p>
        </w:tc>
        <w:tc>
          <w:tcPr>
            <w:tcW w:w="3118" w:type="dxa"/>
            <w:tcBorders>
              <w:top w:val="single" w:color="auto" w:sz="4" w:space="0"/>
              <w:left w:val="single" w:color="auto" w:sz="4" w:space="0"/>
              <w:bottom w:val="single" w:color="auto" w:sz="4" w:space="0"/>
              <w:right w:val="single" w:color="auto" w:sz="4" w:space="0"/>
            </w:tcBorders>
          </w:tcPr>
          <w:p w:rsidR="00087781" w:rsidP="00E12CFD" w:rsidRDefault="003E0AFB" w14:paraId="76E8F5B9" w14:textId="77777777">
            <w:pPr>
              <w:rPr>
                <w:rFonts w:cs="Arial"/>
                <w:szCs w:val="24"/>
              </w:rPr>
            </w:pPr>
            <w:r w:rsidRPr="00602B8C">
              <w:rPr>
                <w:rFonts w:cs="Arial"/>
                <w:szCs w:val="24"/>
              </w:rPr>
              <w:t>£</w:t>
            </w:r>
            <w:r w:rsidR="000378E3">
              <w:rPr>
                <w:rFonts w:cs="Arial"/>
                <w:szCs w:val="24"/>
              </w:rPr>
              <w:t>192</w:t>
            </w:r>
            <w:r w:rsidR="00087781">
              <w:rPr>
                <w:rFonts w:cs="Arial"/>
                <w:szCs w:val="24"/>
              </w:rPr>
              <w:t>,635.51</w:t>
            </w:r>
          </w:p>
          <w:p w:rsidRPr="00602B8C" w:rsidR="003E66A5" w:rsidP="00E12CFD" w:rsidRDefault="003E0AFB" w14:paraId="165214A4" w14:textId="68C8B587">
            <w:pPr>
              <w:rPr>
                <w:rFonts w:cs="Arial"/>
                <w:szCs w:val="24"/>
                <w:lang w:eastAsia="en-GB"/>
              </w:rPr>
            </w:pPr>
            <w:r w:rsidRPr="00602B8C">
              <w:rPr>
                <w:rFonts w:cs="Arial"/>
                <w:szCs w:val="24"/>
              </w:rPr>
              <w:t xml:space="preserve"> </w:t>
            </w:r>
          </w:p>
        </w:tc>
      </w:tr>
      <w:tr w:rsidRPr="00C36A42" w:rsidR="00E06159" w:rsidTr="00C36A42" w14:paraId="596EF8C0" w14:textId="77777777">
        <w:tc>
          <w:tcPr>
            <w:tcW w:w="1537" w:type="dxa"/>
            <w:tcBorders>
              <w:top w:val="single" w:color="auto" w:sz="4" w:space="0"/>
              <w:left w:val="single" w:color="auto" w:sz="4" w:space="0"/>
              <w:bottom w:val="single" w:color="auto" w:sz="4" w:space="0"/>
              <w:right w:val="single" w:color="auto" w:sz="4" w:space="0"/>
            </w:tcBorders>
          </w:tcPr>
          <w:p w:rsidRPr="00C36A42" w:rsidR="00C027B6" w:rsidP="00C027B6" w:rsidRDefault="00C027B6" w14:paraId="0A2E7736" w14:textId="6D0B906D">
            <w:pPr>
              <w:rPr>
                <w:rFonts w:cs="Arial"/>
                <w:sz w:val="22"/>
                <w:lang w:eastAsia="en-GB"/>
              </w:rPr>
            </w:pPr>
          </w:p>
        </w:tc>
        <w:tc>
          <w:tcPr>
            <w:tcW w:w="9124" w:type="dxa"/>
            <w:tcBorders>
              <w:top w:val="single" w:color="auto" w:sz="4" w:space="0"/>
              <w:left w:val="single" w:color="auto" w:sz="4" w:space="0"/>
              <w:bottom w:val="single" w:color="auto" w:sz="4" w:space="0"/>
              <w:right w:val="single" w:color="auto" w:sz="4" w:space="0"/>
            </w:tcBorders>
          </w:tcPr>
          <w:p w:rsidRPr="00C36A42" w:rsidR="00C027B6" w:rsidP="00CC2F8D" w:rsidRDefault="00CC2F8D" w14:paraId="7DA52815" w14:textId="77777777">
            <w:pPr>
              <w:pStyle w:val="ListParagraph"/>
              <w:numPr>
                <w:ilvl w:val="0"/>
                <w:numId w:val="2"/>
              </w:numPr>
              <w:rPr>
                <w:rFonts w:cs="Arial"/>
                <w:sz w:val="22"/>
                <w:lang w:eastAsia="en-GB"/>
              </w:rPr>
            </w:pPr>
            <w:r w:rsidRPr="00C36A42">
              <w:rPr>
                <w:rFonts w:cs="Arial"/>
                <w:sz w:val="22"/>
                <w:lang w:eastAsia="en-GB"/>
              </w:rPr>
              <w:t xml:space="preserve">Any person under regulation 59 (4) </w:t>
            </w:r>
          </w:p>
          <w:p w:rsidRPr="00C36A42" w:rsidR="00245AB6" w:rsidP="00245AB6" w:rsidRDefault="00245AB6" w14:paraId="33A00C3D" w14:textId="64E34399">
            <w:pPr>
              <w:rPr>
                <w:rFonts w:cs="Arial"/>
                <w:sz w:val="22"/>
                <w:lang w:eastAsia="en-GB"/>
              </w:rPr>
            </w:pPr>
          </w:p>
        </w:tc>
        <w:tc>
          <w:tcPr>
            <w:tcW w:w="3118" w:type="dxa"/>
            <w:tcBorders>
              <w:top w:val="single" w:color="auto" w:sz="4" w:space="0"/>
              <w:left w:val="single" w:color="auto" w:sz="4" w:space="0"/>
              <w:bottom w:val="single" w:color="auto" w:sz="4" w:space="0"/>
              <w:right w:val="single" w:color="auto" w:sz="4" w:space="0"/>
            </w:tcBorders>
          </w:tcPr>
          <w:p w:rsidR="009620AC" w:rsidP="00C027B6" w:rsidRDefault="003E6D81" w14:paraId="133A6E70" w14:textId="77777777">
            <w:bookmarkStart w:name="_Hlk202189844" w:id="4"/>
            <w:commentRangeStart w:id="5"/>
            <w:commentRangeStart w:id="6"/>
            <w:r w:rsidRPr="004D1DD2">
              <w:t>£1,</w:t>
            </w:r>
            <w:r w:rsidR="009620AC">
              <w:t>532,866.84</w:t>
            </w:r>
          </w:p>
          <w:p w:rsidRPr="00C36A42" w:rsidR="00C027B6" w:rsidP="00C027B6" w:rsidRDefault="003E6D81" w14:paraId="1E024DCA" w14:textId="2A9AE470">
            <w:pPr>
              <w:rPr>
                <w:rFonts w:cs="Arial"/>
                <w:sz w:val="22"/>
                <w:lang w:eastAsia="en-GB"/>
              </w:rPr>
            </w:pPr>
            <w:r w:rsidRPr="004D1DD2">
              <w:t xml:space="preserve"> </w:t>
            </w:r>
            <w:bookmarkEnd w:id="4"/>
            <w:commentRangeEnd w:id="5"/>
            <w:r w:rsidR="00ED1A8D">
              <w:rPr>
                <w:rStyle w:val="CommentReference"/>
                <w:rFonts w:asciiTheme="minorHAnsi" w:hAnsiTheme="minorHAnsi" w:eastAsiaTheme="minorHAnsi" w:cstheme="minorBidi"/>
              </w:rPr>
              <w:commentReference w:id="5"/>
            </w:r>
            <w:commentRangeEnd w:id="6"/>
            <w:r w:rsidR="007368F1">
              <w:rPr>
                <w:rStyle w:val="CommentReference"/>
                <w:rFonts w:asciiTheme="minorHAnsi" w:hAnsiTheme="minorHAnsi" w:eastAsiaTheme="minorHAnsi" w:cstheme="minorBidi"/>
              </w:rPr>
              <w:commentReference w:id="6"/>
            </w:r>
            <w:r w:rsidRPr="004D1DD2" w:rsidR="00651401">
              <w:rPr>
                <w:rFonts w:cs="Arial"/>
                <w:sz w:val="22"/>
                <w:lang w:eastAsia="en-GB"/>
              </w:rPr>
              <w:t xml:space="preserve">passed to GNGB to spend </w:t>
            </w:r>
          </w:p>
        </w:tc>
      </w:tr>
      <w:tr w:rsidRPr="00C36A42" w:rsidR="00E06159" w:rsidTr="00C36A42" w14:paraId="7284AD41" w14:textId="77777777">
        <w:tc>
          <w:tcPr>
            <w:tcW w:w="1537" w:type="dxa"/>
            <w:tcBorders>
              <w:top w:val="single" w:color="auto" w:sz="4" w:space="0"/>
              <w:left w:val="single" w:color="auto" w:sz="4" w:space="0"/>
              <w:bottom w:val="single" w:color="auto" w:sz="4" w:space="0"/>
              <w:right w:val="single" w:color="auto" w:sz="4" w:space="0"/>
            </w:tcBorders>
          </w:tcPr>
          <w:p w:rsidRPr="00C36A42" w:rsidR="00C027B6" w:rsidP="00C027B6" w:rsidRDefault="00CC2F8D" w14:paraId="1149CAB3" w14:textId="2033284A">
            <w:pPr>
              <w:rPr>
                <w:rFonts w:cs="Arial"/>
                <w:sz w:val="22"/>
                <w:lang w:eastAsia="en-GB"/>
              </w:rPr>
            </w:pPr>
            <w:r w:rsidRPr="00C36A42">
              <w:rPr>
                <w:rFonts w:cs="Arial"/>
                <w:sz w:val="22"/>
                <w:lang w:eastAsia="en-GB"/>
              </w:rPr>
              <w:t xml:space="preserve">1 (j) </w:t>
            </w:r>
          </w:p>
        </w:tc>
        <w:tc>
          <w:tcPr>
            <w:tcW w:w="9124" w:type="dxa"/>
            <w:tcBorders>
              <w:top w:val="single" w:color="auto" w:sz="4" w:space="0"/>
              <w:left w:val="single" w:color="auto" w:sz="4" w:space="0"/>
              <w:bottom w:val="single" w:color="auto" w:sz="4" w:space="0"/>
              <w:right w:val="single" w:color="auto" w:sz="4" w:space="0"/>
            </w:tcBorders>
          </w:tcPr>
          <w:p w:rsidRPr="00C36A42" w:rsidR="00C027B6" w:rsidP="00C027B6" w:rsidRDefault="00CC2F8D" w14:paraId="7E6BDEDB" w14:textId="43B127C8">
            <w:pPr>
              <w:rPr>
                <w:rFonts w:cs="Arial"/>
                <w:sz w:val="22"/>
                <w:lang w:eastAsia="en-GB"/>
              </w:rPr>
            </w:pPr>
            <w:r w:rsidRPr="00C36A42">
              <w:rPr>
                <w:rFonts w:cs="Arial"/>
                <w:sz w:val="22"/>
                <w:lang w:eastAsia="en-GB"/>
              </w:rPr>
              <w:t>Summary details of the receipt and expenditure</w:t>
            </w:r>
            <w:r w:rsidRPr="00C36A42" w:rsidR="00245AB6">
              <w:rPr>
                <w:rFonts w:cs="Arial"/>
                <w:sz w:val="22"/>
                <w:lang w:eastAsia="en-GB"/>
              </w:rPr>
              <w:t xml:space="preserve"> of CIL receipts to which regulations 59e or 59F applied during the reported year including-  </w:t>
            </w:r>
            <w:r w:rsidRPr="00C36A42">
              <w:rPr>
                <w:rFonts w:cs="Arial"/>
                <w:sz w:val="22"/>
                <w:lang w:eastAsia="en-GB"/>
              </w:rPr>
              <w:t xml:space="preserve"> </w:t>
            </w:r>
          </w:p>
          <w:p w:rsidRPr="00C36A42" w:rsidR="00245AB6" w:rsidP="00C027B6" w:rsidRDefault="00245AB6" w14:paraId="56F1EC8C" w14:textId="41B601B2">
            <w:pPr>
              <w:rPr>
                <w:rFonts w:cs="Arial"/>
                <w:sz w:val="22"/>
                <w:lang w:eastAsia="en-GB"/>
              </w:rPr>
            </w:pPr>
          </w:p>
        </w:tc>
        <w:tc>
          <w:tcPr>
            <w:tcW w:w="3118" w:type="dxa"/>
            <w:tcBorders>
              <w:top w:val="single" w:color="auto" w:sz="4" w:space="0"/>
              <w:left w:val="single" w:color="auto" w:sz="4" w:space="0"/>
              <w:bottom w:val="single" w:color="auto" w:sz="4" w:space="0"/>
              <w:right w:val="single" w:color="auto" w:sz="4" w:space="0"/>
            </w:tcBorders>
          </w:tcPr>
          <w:p w:rsidR="008550E6" w:rsidP="00C027B6" w:rsidRDefault="008550E6" w14:paraId="169D8B38" w14:textId="77777777">
            <w:pPr>
              <w:rPr>
                <w:rFonts w:cs="Arial"/>
                <w:sz w:val="22"/>
                <w:lang w:eastAsia="en-GB"/>
              </w:rPr>
            </w:pPr>
          </w:p>
          <w:p w:rsidRPr="00C36A42" w:rsidR="00C027B6" w:rsidP="00C027B6" w:rsidRDefault="008F1480" w14:paraId="1A0CA78E" w14:textId="39BCAF4A">
            <w:pPr>
              <w:rPr>
                <w:rFonts w:cs="Arial"/>
                <w:sz w:val="22"/>
                <w:lang w:eastAsia="en-GB"/>
              </w:rPr>
            </w:pPr>
            <w:r>
              <w:rPr>
                <w:rFonts w:cs="Arial"/>
                <w:sz w:val="22"/>
                <w:lang w:eastAsia="en-GB"/>
              </w:rPr>
              <w:t>N/A</w:t>
            </w:r>
          </w:p>
        </w:tc>
      </w:tr>
      <w:tr w:rsidRPr="00C36A42" w:rsidR="00E06159" w:rsidTr="00C36A42" w14:paraId="204DE8F8" w14:textId="77777777">
        <w:tc>
          <w:tcPr>
            <w:tcW w:w="1537" w:type="dxa"/>
            <w:tcBorders>
              <w:top w:val="single" w:color="auto" w:sz="4" w:space="0"/>
              <w:left w:val="single" w:color="auto" w:sz="4" w:space="0"/>
              <w:bottom w:val="single" w:color="auto" w:sz="4" w:space="0"/>
              <w:right w:val="single" w:color="auto" w:sz="4" w:space="0"/>
            </w:tcBorders>
          </w:tcPr>
          <w:p w:rsidRPr="00C36A42" w:rsidR="00C027B6" w:rsidP="00C027B6" w:rsidRDefault="00C027B6" w14:paraId="66F77911" w14:textId="691D3CA3">
            <w:pPr>
              <w:rPr>
                <w:rFonts w:cs="Arial"/>
                <w:sz w:val="22"/>
                <w:lang w:eastAsia="en-GB"/>
              </w:rPr>
            </w:pPr>
          </w:p>
        </w:tc>
        <w:tc>
          <w:tcPr>
            <w:tcW w:w="9124" w:type="dxa"/>
            <w:tcBorders>
              <w:top w:val="single" w:color="auto" w:sz="4" w:space="0"/>
              <w:left w:val="single" w:color="auto" w:sz="4" w:space="0"/>
              <w:bottom w:val="single" w:color="auto" w:sz="4" w:space="0"/>
              <w:right w:val="single" w:color="auto" w:sz="4" w:space="0"/>
            </w:tcBorders>
          </w:tcPr>
          <w:p w:rsidRPr="00C36A42" w:rsidR="00C027B6" w:rsidP="00CC2F8D" w:rsidRDefault="00245AB6" w14:paraId="61A91864" w14:textId="40026129">
            <w:pPr>
              <w:pStyle w:val="ListParagraph"/>
              <w:numPr>
                <w:ilvl w:val="0"/>
                <w:numId w:val="3"/>
              </w:numPr>
              <w:rPr>
                <w:rFonts w:cs="Arial"/>
                <w:sz w:val="22"/>
                <w:lang w:eastAsia="en-GB"/>
              </w:rPr>
            </w:pPr>
            <w:r w:rsidRPr="00C36A42">
              <w:rPr>
                <w:rFonts w:cs="Arial"/>
                <w:sz w:val="22"/>
                <w:lang w:eastAsia="en-GB"/>
              </w:rPr>
              <w:t>The total CIL receipts that regul</w:t>
            </w:r>
            <w:r w:rsidRPr="00C36A42" w:rsidR="00651401">
              <w:rPr>
                <w:rFonts w:cs="Arial"/>
                <w:sz w:val="22"/>
                <w:lang w:eastAsia="en-GB"/>
              </w:rPr>
              <w:t>a</w:t>
            </w:r>
            <w:r w:rsidRPr="00C36A42">
              <w:rPr>
                <w:rFonts w:cs="Arial"/>
                <w:sz w:val="22"/>
                <w:lang w:eastAsia="en-GB"/>
              </w:rPr>
              <w:t>tions 59E and 59F applied to</w:t>
            </w:r>
          </w:p>
          <w:p w:rsidRPr="00C36A42" w:rsidR="00245AB6" w:rsidP="00245AB6" w:rsidRDefault="00245AB6" w14:paraId="3EEC7517" w14:textId="5A3FEE62">
            <w:pPr>
              <w:rPr>
                <w:rFonts w:cs="Arial"/>
                <w:sz w:val="22"/>
                <w:lang w:eastAsia="en-GB"/>
              </w:rPr>
            </w:pPr>
          </w:p>
        </w:tc>
        <w:tc>
          <w:tcPr>
            <w:tcW w:w="3118" w:type="dxa"/>
            <w:tcBorders>
              <w:top w:val="single" w:color="auto" w:sz="4" w:space="0"/>
              <w:left w:val="single" w:color="auto" w:sz="4" w:space="0"/>
              <w:bottom w:val="single" w:color="auto" w:sz="4" w:space="0"/>
              <w:right w:val="single" w:color="auto" w:sz="4" w:space="0"/>
            </w:tcBorders>
          </w:tcPr>
          <w:p w:rsidRPr="00C36A42" w:rsidR="00C027B6" w:rsidP="00C027B6" w:rsidRDefault="008550E6" w14:paraId="1054CD1F" w14:textId="34196211">
            <w:pPr>
              <w:rPr>
                <w:rFonts w:cs="Arial"/>
                <w:sz w:val="22"/>
                <w:lang w:eastAsia="en-GB"/>
              </w:rPr>
            </w:pPr>
            <w:r>
              <w:t>N</w:t>
            </w:r>
            <w:r w:rsidR="003215F3">
              <w:t>il</w:t>
            </w:r>
          </w:p>
        </w:tc>
      </w:tr>
      <w:tr w:rsidRPr="00C36A42" w:rsidR="00E06159" w:rsidTr="00C36A42" w14:paraId="24246164" w14:textId="77777777">
        <w:tc>
          <w:tcPr>
            <w:tcW w:w="1537" w:type="dxa"/>
            <w:tcBorders>
              <w:top w:val="single" w:color="auto" w:sz="4" w:space="0"/>
              <w:left w:val="single" w:color="auto" w:sz="4" w:space="0"/>
              <w:bottom w:val="single" w:color="auto" w:sz="4" w:space="0"/>
              <w:right w:val="single" w:color="auto" w:sz="4" w:space="0"/>
            </w:tcBorders>
          </w:tcPr>
          <w:p w:rsidRPr="00C36A42" w:rsidR="00C027B6" w:rsidP="00C027B6" w:rsidRDefault="00C027B6" w14:paraId="67EF293D" w14:textId="585FBCD2">
            <w:pPr>
              <w:rPr>
                <w:rFonts w:cs="Arial"/>
                <w:sz w:val="22"/>
                <w:lang w:eastAsia="en-GB"/>
              </w:rPr>
            </w:pPr>
          </w:p>
        </w:tc>
        <w:tc>
          <w:tcPr>
            <w:tcW w:w="9124" w:type="dxa"/>
            <w:tcBorders>
              <w:top w:val="single" w:color="auto" w:sz="4" w:space="0"/>
              <w:left w:val="single" w:color="auto" w:sz="4" w:space="0"/>
              <w:bottom w:val="single" w:color="auto" w:sz="4" w:space="0"/>
              <w:right w:val="single" w:color="auto" w:sz="4" w:space="0"/>
            </w:tcBorders>
          </w:tcPr>
          <w:p w:rsidRPr="00C36A42" w:rsidR="00245AB6" w:rsidP="00CC2F8D" w:rsidRDefault="00245AB6" w14:paraId="35568A28" w14:textId="77777777">
            <w:pPr>
              <w:pStyle w:val="ListParagraph"/>
              <w:numPr>
                <w:ilvl w:val="0"/>
                <w:numId w:val="3"/>
              </w:numPr>
              <w:rPr>
                <w:rFonts w:cs="Arial"/>
                <w:sz w:val="22"/>
                <w:lang w:eastAsia="en-GB"/>
              </w:rPr>
            </w:pPr>
            <w:r w:rsidRPr="00C36A42">
              <w:rPr>
                <w:rFonts w:cs="Arial"/>
                <w:sz w:val="22"/>
                <w:lang w:eastAsia="en-GB"/>
              </w:rPr>
              <w:t>The items of infrastructure to which the CIL receipts to which regulations 59E and 59F applied have been allocated or spent, and the amount of expenditure allocated or spent on each item</w:t>
            </w:r>
          </w:p>
          <w:p w:rsidRPr="00C36A42" w:rsidR="00C027B6" w:rsidP="00245AB6" w:rsidRDefault="00245AB6" w14:paraId="5D0DFD5F" w14:textId="4E79E517">
            <w:pPr>
              <w:rPr>
                <w:rFonts w:cs="Arial"/>
                <w:sz w:val="22"/>
                <w:lang w:eastAsia="en-GB"/>
              </w:rPr>
            </w:pPr>
            <w:r w:rsidRPr="00C36A42">
              <w:rPr>
                <w:rFonts w:cs="Arial"/>
                <w:sz w:val="22"/>
                <w:lang w:eastAsia="en-GB"/>
              </w:rPr>
              <w:t xml:space="preserve">  </w:t>
            </w:r>
            <w:r w:rsidRPr="00C36A42" w:rsidR="00CC2F8D">
              <w:rPr>
                <w:rFonts w:cs="Arial"/>
                <w:sz w:val="22"/>
                <w:lang w:eastAsia="en-GB"/>
              </w:rPr>
              <w:t xml:space="preserve"> </w:t>
            </w:r>
          </w:p>
        </w:tc>
        <w:tc>
          <w:tcPr>
            <w:tcW w:w="3118" w:type="dxa"/>
            <w:tcBorders>
              <w:top w:val="single" w:color="auto" w:sz="4" w:space="0"/>
              <w:left w:val="single" w:color="auto" w:sz="4" w:space="0"/>
              <w:bottom w:val="single" w:color="auto" w:sz="4" w:space="0"/>
              <w:right w:val="single" w:color="auto" w:sz="4" w:space="0"/>
            </w:tcBorders>
          </w:tcPr>
          <w:p w:rsidR="008550E6" w:rsidP="00C027B6" w:rsidRDefault="008550E6" w14:paraId="44D9778E" w14:textId="77777777"/>
          <w:p w:rsidRPr="00C36A42" w:rsidR="00651401" w:rsidP="00C027B6" w:rsidRDefault="008550E6" w14:paraId="7CBE1B25" w14:textId="6AF667F9">
            <w:pPr>
              <w:rPr>
                <w:rFonts w:cs="Arial"/>
                <w:sz w:val="22"/>
                <w:lang w:eastAsia="en-GB"/>
              </w:rPr>
            </w:pPr>
            <w:r>
              <w:t>N</w:t>
            </w:r>
            <w:r w:rsidR="003215F3">
              <w:t>il</w:t>
            </w:r>
            <w:r w:rsidRPr="00C36A42" w:rsidR="00651401">
              <w:rPr>
                <w:rFonts w:cs="Arial"/>
                <w:sz w:val="22"/>
                <w:lang w:eastAsia="en-GB"/>
              </w:rPr>
              <w:t xml:space="preserve"> </w:t>
            </w:r>
          </w:p>
        </w:tc>
      </w:tr>
      <w:tr w:rsidRPr="00C36A42" w:rsidR="00E06159" w:rsidTr="00C36A42" w14:paraId="3972B9D1" w14:textId="77777777">
        <w:tc>
          <w:tcPr>
            <w:tcW w:w="1537" w:type="dxa"/>
            <w:tcBorders>
              <w:top w:val="single" w:color="auto" w:sz="4" w:space="0"/>
              <w:left w:val="single" w:color="auto" w:sz="4" w:space="0"/>
              <w:bottom w:val="single" w:color="auto" w:sz="4" w:space="0"/>
              <w:right w:val="single" w:color="auto" w:sz="4" w:space="0"/>
            </w:tcBorders>
          </w:tcPr>
          <w:p w:rsidRPr="00C36A42" w:rsidR="00C027B6" w:rsidP="00C027B6" w:rsidRDefault="00BD0426" w14:paraId="22B8F20D" w14:textId="09BB5F96">
            <w:pPr>
              <w:rPr>
                <w:rFonts w:cs="Arial"/>
                <w:sz w:val="22"/>
                <w:lang w:eastAsia="en-GB"/>
              </w:rPr>
            </w:pPr>
            <w:r w:rsidRPr="00C36A42">
              <w:rPr>
                <w:rFonts w:cs="Arial"/>
                <w:sz w:val="22"/>
                <w:lang w:eastAsia="en-GB"/>
              </w:rPr>
              <w:t xml:space="preserve">1 (k) </w:t>
            </w:r>
          </w:p>
        </w:tc>
        <w:tc>
          <w:tcPr>
            <w:tcW w:w="9124" w:type="dxa"/>
            <w:tcBorders>
              <w:top w:val="single" w:color="auto" w:sz="4" w:space="0"/>
              <w:left w:val="single" w:color="auto" w:sz="4" w:space="0"/>
              <w:bottom w:val="single" w:color="auto" w:sz="4" w:space="0"/>
              <w:right w:val="single" w:color="auto" w:sz="4" w:space="0"/>
            </w:tcBorders>
          </w:tcPr>
          <w:p w:rsidRPr="00C36A42" w:rsidR="00245AB6" w:rsidP="00C027B6" w:rsidRDefault="00BD0426" w14:paraId="3E6C2376" w14:textId="77777777">
            <w:pPr>
              <w:rPr>
                <w:rFonts w:cs="Arial"/>
                <w:sz w:val="22"/>
                <w:lang w:eastAsia="en-GB"/>
              </w:rPr>
            </w:pPr>
            <w:r w:rsidRPr="00C36A42">
              <w:rPr>
                <w:rFonts w:cs="Arial"/>
                <w:sz w:val="22"/>
                <w:lang w:eastAsia="en-GB"/>
              </w:rPr>
              <w:t xml:space="preserve">Summary details </w:t>
            </w:r>
            <w:r w:rsidRPr="00C36A42" w:rsidR="00245AB6">
              <w:rPr>
                <w:rFonts w:cs="Arial"/>
                <w:sz w:val="22"/>
                <w:lang w:eastAsia="en-GB"/>
              </w:rPr>
              <w:t xml:space="preserve">of any notices served in accordance with regulation 59E, including </w:t>
            </w:r>
          </w:p>
          <w:p w:rsidRPr="00C36A42" w:rsidR="00C027B6" w:rsidP="00C027B6" w:rsidRDefault="00245AB6" w14:paraId="2C2AA375" w14:textId="5190E348">
            <w:pPr>
              <w:rPr>
                <w:rFonts w:cs="Arial"/>
                <w:sz w:val="22"/>
                <w:lang w:eastAsia="en-GB"/>
              </w:rPr>
            </w:pPr>
            <w:r w:rsidRPr="00C36A42">
              <w:rPr>
                <w:rFonts w:cs="Arial"/>
                <w:sz w:val="22"/>
                <w:lang w:eastAsia="en-GB"/>
              </w:rPr>
              <w:t xml:space="preserve"> </w:t>
            </w:r>
          </w:p>
        </w:tc>
        <w:tc>
          <w:tcPr>
            <w:tcW w:w="3118" w:type="dxa"/>
            <w:tcBorders>
              <w:top w:val="single" w:color="auto" w:sz="4" w:space="0"/>
              <w:left w:val="single" w:color="auto" w:sz="4" w:space="0"/>
              <w:bottom w:val="single" w:color="auto" w:sz="4" w:space="0"/>
              <w:right w:val="single" w:color="auto" w:sz="4" w:space="0"/>
            </w:tcBorders>
          </w:tcPr>
          <w:p w:rsidRPr="00C36A42" w:rsidR="00C027B6" w:rsidP="00C027B6" w:rsidRDefault="00C027B6" w14:paraId="7ACD84F6" w14:textId="6BDBAB63">
            <w:pPr>
              <w:rPr>
                <w:rFonts w:cs="Arial"/>
                <w:sz w:val="22"/>
                <w:lang w:eastAsia="en-GB"/>
              </w:rPr>
            </w:pPr>
          </w:p>
        </w:tc>
      </w:tr>
      <w:tr w:rsidRPr="00C36A42" w:rsidR="00CC2F8D" w:rsidTr="00C36A42" w14:paraId="4FD0ED41" w14:textId="77777777">
        <w:tc>
          <w:tcPr>
            <w:tcW w:w="1537" w:type="dxa"/>
            <w:tcBorders>
              <w:top w:val="single" w:color="auto" w:sz="4" w:space="0"/>
              <w:left w:val="single" w:color="auto" w:sz="4" w:space="0"/>
              <w:bottom w:val="single" w:color="auto" w:sz="4" w:space="0"/>
              <w:right w:val="single" w:color="auto" w:sz="4" w:space="0"/>
            </w:tcBorders>
          </w:tcPr>
          <w:p w:rsidRPr="00C36A42" w:rsidR="00CC2F8D" w:rsidP="00C027B6" w:rsidRDefault="00CC2F8D" w14:paraId="71C20AD4" w14:textId="77777777">
            <w:pPr>
              <w:rPr>
                <w:rFonts w:cs="Arial"/>
                <w:sz w:val="22"/>
                <w:lang w:eastAsia="en-GB"/>
              </w:rPr>
            </w:pPr>
          </w:p>
        </w:tc>
        <w:tc>
          <w:tcPr>
            <w:tcW w:w="9124" w:type="dxa"/>
            <w:tcBorders>
              <w:top w:val="single" w:color="auto" w:sz="4" w:space="0"/>
              <w:left w:val="single" w:color="auto" w:sz="4" w:space="0"/>
              <w:bottom w:val="single" w:color="auto" w:sz="4" w:space="0"/>
              <w:right w:val="single" w:color="auto" w:sz="4" w:space="0"/>
            </w:tcBorders>
          </w:tcPr>
          <w:p w:rsidRPr="00C36A42" w:rsidR="00CC2F8D" w:rsidP="00BD0426" w:rsidRDefault="00245AB6" w14:paraId="249CA202" w14:textId="77777777">
            <w:pPr>
              <w:pStyle w:val="ListParagraph"/>
              <w:numPr>
                <w:ilvl w:val="0"/>
                <w:numId w:val="4"/>
              </w:numPr>
              <w:rPr>
                <w:rFonts w:cs="Arial"/>
                <w:sz w:val="22"/>
                <w:lang w:eastAsia="en-GB"/>
              </w:rPr>
            </w:pPr>
            <w:r w:rsidRPr="00C36A42">
              <w:rPr>
                <w:rFonts w:cs="Arial"/>
                <w:sz w:val="22"/>
                <w:lang w:eastAsia="en-GB"/>
              </w:rPr>
              <w:t xml:space="preserve">The total value of CIL receipts requested from each parish council </w:t>
            </w:r>
          </w:p>
          <w:p w:rsidRPr="00C36A42" w:rsidR="00245AB6" w:rsidP="00245AB6" w:rsidRDefault="00245AB6" w14:paraId="3C266771" w14:textId="527D1BB4">
            <w:pPr>
              <w:rPr>
                <w:rFonts w:cs="Arial"/>
                <w:sz w:val="22"/>
                <w:lang w:eastAsia="en-GB"/>
              </w:rPr>
            </w:pPr>
          </w:p>
        </w:tc>
        <w:tc>
          <w:tcPr>
            <w:tcW w:w="3118" w:type="dxa"/>
            <w:tcBorders>
              <w:top w:val="single" w:color="auto" w:sz="4" w:space="0"/>
              <w:left w:val="single" w:color="auto" w:sz="4" w:space="0"/>
              <w:bottom w:val="single" w:color="auto" w:sz="4" w:space="0"/>
              <w:right w:val="single" w:color="auto" w:sz="4" w:space="0"/>
            </w:tcBorders>
          </w:tcPr>
          <w:p w:rsidRPr="00C36A42" w:rsidR="00CC2F8D" w:rsidP="00C027B6" w:rsidRDefault="00651401" w14:paraId="285B40C7" w14:textId="10FA16B8">
            <w:pPr>
              <w:rPr>
                <w:rFonts w:cs="Arial"/>
                <w:sz w:val="22"/>
                <w:lang w:eastAsia="en-GB"/>
              </w:rPr>
            </w:pPr>
            <w:r w:rsidRPr="00C36A42">
              <w:rPr>
                <w:rFonts w:cs="Arial"/>
                <w:sz w:val="22"/>
                <w:lang w:eastAsia="en-GB"/>
              </w:rPr>
              <w:t>N</w:t>
            </w:r>
            <w:r w:rsidR="003215F3">
              <w:rPr>
                <w:rFonts w:cs="Arial"/>
                <w:sz w:val="22"/>
                <w:lang w:eastAsia="en-GB"/>
              </w:rPr>
              <w:t>il</w:t>
            </w:r>
          </w:p>
        </w:tc>
      </w:tr>
      <w:tr w:rsidRPr="00C36A42" w:rsidR="00CC2F8D" w:rsidTr="00C36A42" w14:paraId="019362FF" w14:textId="77777777">
        <w:tc>
          <w:tcPr>
            <w:tcW w:w="1537" w:type="dxa"/>
            <w:tcBorders>
              <w:top w:val="single" w:color="auto" w:sz="4" w:space="0"/>
              <w:left w:val="single" w:color="auto" w:sz="4" w:space="0"/>
              <w:bottom w:val="single" w:color="auto" w:sz="4" w:space="0"/>
              <w:right w:val="single" w:color="auto" w:sz="4" w:space="0"/>
            </w:tcBorders>
          </w:tcPr>
          <w:p w:rsidRPr="00C36A42" w:rsidR="00CC2F8D" w:rsidP="00C027B6" w:rsidRDefault="00CC2F8D" w14:paraId="1D2AC416" w14:textId="77777777">
            <w:pPr>
              <w:rPr>
                <w:rFonts w:cs="Arial"/>
                <w:sz w:val="22"/>
                <w:lang w:eastAsia="en-GB"/>
              </w:rPr>
            </w:pPr>
          </w:p>
        </w:tc>
        <w:tc>
          <w:tcPr>
            <w:tcW w:w="9124" w:type="dxa"/>
            <w:tcBorders>
              <w:top w:val="single" w:color="auto" w:sz="4" w:space="0"/>
              <w:left w:val="single" w:color="auto" w:sz="4" w:space="0"/>
              <w:bottom w:val="single" w:color="auto" w:sz="4" w:space="0"/>
              <w:right w:val="single" w:color="auto" w:sz="4" w:space="0"/>
            </w:tcBorders>
          </w:tcPr>
          <w:p w:rsidRPr="00C36A42" w:rsidR="00CC2F8D" w:rsidP="00BD0426" w:rsidRDefault="00245AB6" w14:paraId="22807786" w14:textId="77777777">
            <w:pPr>
              <w:pStyle w:val="ListParagraph"/>
              <w:numPr>
                <w:ilvl w:val="0"/>
                <w:numId w:val="4"/>
              </w:numPr>
              <w:rPr>
                <w:rFonts w:cs="Arial"/>
                <w:sz w:val="22"/>
                <w:lang w:eastAsia="en-GB"/>
              </w:rPr>
            </w:pPr>
            <w:r w:rsidRPr="00C36A42">
              <w:rPr>
                <w:rFonts w:cs="Arial"/>
                <w:sz w:val="22"/>
                <w:lang w:eastAsia="en-GB"/>
              </w:rPr>
              <w:t xml:space="preserve">Any funds not yet recovered from each parish council at the end of the reported year </w:t>
            </w:r>
          </w:p>
          <w:p w:rsidRPr="00C36A42" w:rsidR="00245AB6" w:rsidP="00245AB6" w:rsidRDefault="00245AB6" w14:paraId="0CB141EF" w14:textId="16645794">
            <w:pPr>
              <w:rPr>
                <w:rFonts w:cs="Arial"/>
                <w:sz w:val="22"/>
                <w:lang w:eastAsia="en-GB"/>
              </w:rPr>
            </w:pPr>
          </w:p>
        </w:tc>
        <w:tc>
          <w:tcPr>
            <w:tcW w:w="3118" w:type="dxa"/>
            <w:tcBorders>
              <w:top w:val="single" w:color="auto" w:sz="4" w:space="0"/>
              <w:left w:val="single" w:color="auto" w:sz="4" w:space="0"/>
              <w:bottom w:val="single" w:color="auto" w:sz="4" w:space="0"/>
              <w:right w:val="single" w:color="auto" w:sz="4" w:space="0"/>
            </w:tcBorders>
          </w:tcPr>
          <w:p w:rsidRPr="00C36A42" w:rsidR="00CC2F8D" w:rsidP="00C027B6" w:rsidRDefault="00651401" w14:paraId="073B1B4F" w14:textId="31C95F3D">
            <w:pPr>
              <w:rPr>
                <w:rFonts w:cs="Arial"/>
                <w:sz w:val="22"/>
                <w:lang w:eastAsia="en-GB"/>
              </w:rPr>
            </w:pPr>
            <w:r w:rsidRPr="00C36A42">
              <w:rPr>
                <w:rFonts w:cs="Arial"/>
                <w:sz w:val="22"/>
                <w:lang w:eastAsia="en-GB"/>
              </w:rPr>
              <w:t>N</w:t>
            </w:r>
            <w:r w:rsidR="003215F3">
              <w:rPr>
                <w:rFonts w:cs="Arial"/>
                <w:sz w:val="22"/>
                <w:lang w:eastAsia="en-GB"/>
              </w:rPr>
              <w:t>il</w:t>
            </w:r>
          </w:p>
        </w:tc>
      </w:tr>
      <w:tr w:rsidRPr="00C36A42" w:rsidR="00CC2F8D" w:rsidTr="00C36A42" w14:paraId="0CA8A8ED" w14:textId="77777777">
        <w:tc>
          <w:tcPr>
            <w:tcW w:w="1537" w:type="dxa"/>
            <w:tcBorders>
              <w:top w:val="single" w:color="auto" w:sz="4" w:space="0"/>
              <w:left w:val="single" w:color="auto" w:sz="4" w:space="0"/>
              <w:bottom w:val="single" w:color="auto" w:sz="4" w:space="0"/>
              <w:right w:val="single" w:color="auto" w:sz="4" w:space="0"/>
            </w:tcBorders>
          </w:tcPr>
          <w:p w:rsidRPr="00C36A42" w:rsidR="00CC2F8D" w:rsidP="00C027B6" w:rsidRDefault="006F6F61" w14:paraId="0E497415" w14:textId="6092E7C9">
            <w:pPr>
              <w:rPr>
                <w:rFonts w:cs="Arial"/>
                <w:sz w:val="22"/>
                <w:lang w:eastAsia="en-GB"/>
              </w:rPr>
            </w:pPr>
            <w:r w:rsidRPr="00C36A42">
              <w:rPr>
                <w:rFonts w:cs="Arial"/>
                <w:sz w:val="22"/>
                <w:lang w:eastAsia="en-GB"/>
              </w:rPr>
              <w:t>1 (l)</w:t>
            </w:r>
          </w:p>
        </w:tc>
        <w:tc>
          <w:tcPr>
            <w:tcW w:w="9124" w:type="dxa"/>
            <w:tcBorders>
              <w:top w:val="single" w:color="auto" w:sz="4" w:space="0"/>
              <w:left w:val="single" w:color="auto" w:sz="4" w:space="0"/>
              <w:bottom w:val="single" w:color="auto" w:sz="4" w:space="0"/>
              <w:right w:val="single" w:color="auto" w:sz="4" w:space="0"/>
            </w:tcBorders>
          </w:tcPr>
          <w:p w:rsidRPr="00C36A42" w:rsidR="006F6F61" w:rsidP="006F6F61" w:rsidRDefault="006F6F61" w14:paraId="4D48ECFA" w14:textId="77777777">
            <w:pPr>
              <w:rPr>
                <w:rFonts w:cs="Arial"/>
                <w:sz w:val="22"/>
                <w:lang w:eastAsia="en-GB"/>
              </w:rPr>
            </w:pPr>
            <w:r w:rsidRPr="00C36A42">
              <w:rPr>
                <w:rFonts w:cs="Arial"/>
                <w:sz w:val="22"/>
                <w:lang w:eastAsia="en-GB"/>
              </w:rPr>
              <w:t>The total amount of</w:t>
            </w:r>
            <w:r w:rsidRPr="00C36A42" w:rsidR="00245AB6">
              <w:rPr>
                <w:rFonts w:cs="Arial"/>
                <w:sz w:val="22"/>
                <w:lang w:eastAsia="en-GB"/>
              </w:rPr>
              <w:t>-</w:t>
            </w:r>
            <w:r w:rsidRPr="00C36A42">
              <w:rPr>
                <w:rFonts w:cs="Arial"/>
                <w:sz w:val="22"/>
                <w:lang w:eastAsia="en-GB"/>
              </w:rPr>
              <w:t xml:space="preserve"> </w:t>
            </w:r>
          </w:p>
          <w:p w:rsidRPr="00C36A42" w:rsidR="00651401" w:rsidP="006F6F61" w:rsidRDefault="00651401" w14:paraId="32F6F9E3" w14:textId="4BC485AC">
            <w:pPr>
              <w:rPr>
                <w:rFonts w:cs="Arial"/>
                <w:sz w:val="22"/>
                <w:lang w:eastAsia="en-GB"/>
              </w:rPr>
            </w:pPr>
          </w:p>
        </w:tc>
        <w:tc>
          <w:tcPr>
            <w:tcW w:w="3118" w:type="dxa"/>
            <w:tcBorders>
              <w:top w:val="single" w:color="auto" w:sz="4" w:space="0"/>
              <w:left w:val="single" w:color="auto" w:sz="4" w:space="0"/>
              <w:bottom w:val="single" w:color="auto" w:sz="4" w:space="0"/>
              <w:right w:val="single" w:color="auto" w:sz="4" w:space="0"/>
            </w:tcBorders>
          </w:tcPr>
          <w:p w:rsidRPr="00C36A42" w:rsidR="00CC2F8D" w:rsidP="00C027B6" w:rsidRDefault="00CC2F8D" w14:paraId="47DD378B" w14:textId="77777777">
            <w:pPr>
              <w:rPr>
                <w:rFonts w:cs="Arial"/>
                <w:sz w:val="22"/>
                <w:lang w:eastAsia="en-GB"/>
              </w:rPr>
            </w:pPr>
          </w:p>
        </w:tc>
      </w:tr>
      <w:tr w:rsidRPr="00C36A42" w:rsidR="006F6F61" w:rsidTr="00C36A42" w14:paraId="7575DE0F" w14:textId="77777777">
        <w:tc>
          <w:tcPr>
            <w:tcW w:w="1537" w:type="dxa"/>
            <w:tcBorders>
              <w:top w:val="single" w:color="auto" w:sz="4" w:space="0"/>
              <w:left w:val="single" w:color="auto" w:sz="4" w:space="0"/>
              <w:bottom w:val="single" w:color="auto" w:sz="4" w:space="0"/>
              <w:right w:val="single" w:color="auto" w:sz="4" w:space="0"/>
            </w:tcBorders>
          </w:tcPr>
          <w:p w:rsidRPr="00C36A42" w:rsidR="006F6F61" w:rsidP="00C027B6" w:rsidRDefault="006F6F61" w14:paraId="0602F4D4" w14:textId="77777777">
            <w:pPr>
              <w:rPr>
                <w:rFonts w:cs="Arial"/>
                <w:sz w:val="22"/>
                <w:lang w:eastAsia="en-GB"/>
              </w:rPr>
            </w:pPr>
          </w:p>
        </w:tc>
        <w:tc>
          <w:tcPr>
            <w:tcW w:w="9124" w:type="dxa"/>
            <w:tcBorders>
              <w:top w:val="single" w:color="auto" w:sz="4" w:space="0"/>
              <w:left w:val="single" w:color="auto" w:sz="4" w:space="0"/>
              <w:bottom w:val="single" w:color="auto" w:sz="4" w:space="0"/>
              <w:right w:val="single" w:color="auto" w:sz="4" w:space="0"/>
            </w:tcBorders>
          </w:tcPr>
          <w:p w:rsidRPr="00C36A42" w:rsidR="006F6F61" w:rsidP="006F6F61" w:rsidRDefault="006F6F61" w14:paraId="3B8E20BB" w14:textId="77777777">
            <w:pPr>
              <w:pStyle w:val="ListParagraph"/>
              <w:numPr>
                <w:ilvl w:val="0"/>
                <w:numId w:val="5"/>
              </w:numPr>
              <w:rPr>
                <w:rFonts w:cs="Arial"/>
                <w:sz w:val="22"/>
                <w:lang w:eastAsia="en-GB"/>
              </w:rPr>
            </w:pPr>
            <w:r w:rsidRPr="00C36A42">
              <w:rPr>
                <w:rFonts w:cs="Arial"/>
                <w:sz w:val="22"/>
                <w:lang w:eastAsia="en-GB"/>
              </w:rPr>
              <w:t xml:space="preserve"> </w:t>
            </w:r>
            <w:r w:rsidRPr="00C36A42" w:rsidR="00245AB6">
              <w:rPr>
                <w:rFonts w:cs="Arial"/>
                <w:sz w:val="22"/>
                <w:lang w:eastAsia="en-GB"/>
              </w:rPr>
              <w:t xml:space="preserve">CIL receipts for the reported year retained at the end of the reported year other than those to which regulation 59E or 59F applied </w:t>
            </w:r>
          </w:p>
          <w:p w:rsidRPr="00C36A42" w:rsidR="00245AB6" w:rsidP="00245AB6" w:rsidRDefault="00245AB6" w14:paraId="3A770FFB" w14:textId="3404E9E7">
            <w:pPr>
              <w:rPr>
                <w:rFonts w:cs="Arial"/>
                <w:sz w:val="22"/>
                <w:lang w:eastAsia="en-GB"/>
              </w:rPr>
            </w:pPr>
          </w:p>
        </w:tc>
        <w:tc>
          <w:tcPr>
            <w:tcW w:w="3118" w:type="dxa"/>
            <w:tcBorders>
              <w:top w:val="single" w:color="auto" w:sz="4" w:space="0"/>
              <w:left w:val="single" w:color="auto" w:sz="4" w:space="0"/>
              <w:bottom w:val="single" w:color="auto" w:sz="4" w:space="0"/>
              <w:right w:val="single" w:color="auto" w:sz="4" w:space="0"/>
            </w:tcBorders>
          </w:tcPr>
          <w:p w:rsidR="002D710A" w:rsidP="00C027B6" w:rsidRDefault="002D710A" w14:paraId="40790D78" w14:textId="77777777">
            <w:pPr>
              <w:rPr>
                <w:rFonts w:cs="Arial"/>
                <w:sz w:val="22"/>
                <w:lang w:eastAsia="en-GB"/>
              </w:rPr>
            </w:pPr>
          </w:p>
          <w:p w:rsidRPr="00C36A42" w:rsidR="000330D9" w:rsidP="00C027B6" w:rsidRDefault="000330D9" w14:paraId="04ACD50C" w14:textId="147DFDAA">
            <w:pPr>
              <w:rPr>
                <w:rFonts w:cs="Arial"/>
                <w:sz w:val="22"/>
                <w:lang w:eastAsia="en-GB"/>
              </w:rPr>
            </w:pPr>
            <w:r w:rsidRPr="000330D9">
              <w:rPr>
                <w:rFonts w:cs="Arial"/>
                <w:sz w:val="22"/>
                <w:lang w:eastAsia="en-GB"/>
              </w:rPr>
              <w:t xml:space="preserve">£124,956.47 </w:t>
            </w:r>
            <w:r w:rsidR="002D710A">
              <w:rPr>
                <w:rFonts w:cs="Arial"/>
                <w:sz w:val="22"/>
                <w:lang w:eastAsia="en-GB"/>
              </w:rPr>
              <w:t>(</w:t>
            </w:r>
            <w:r w:rsidRPr="000330D9">
              <w:rPr>
                <w:rFonts w:cs="Arial"/>
                <w:sz w:val="22"/>
                <w:lang w:eastAsia="en-GB"/>
              </w:rPr>
              <w:t>Oct 24</w:t>
            </w:r>
            <w:r w:rsidR="002D710A">
              <w:rPr>
                <w:rFonts w:cs="Arial"/>
                <w:sz w:val="22"/>
                <w:lang w:eastAsia="en-GB"/>
              </w:rPr>
              <w:t>)</w:t>
            </w:r>
          </w:p>
        </w:tc>
      </w:tr>
      <w:tr w:rsidRPr="00C36A42" w:rsidR="00BD0426" w:rsidTr="00C36A42" w14:paraId="4A446EB7" w14:textId="77777777">
        <w:tc>
          <w:tcPr>
            <w:tcW w:w="1537" w:type="dxa"/>
            <w:tcBorders>
              <w:top w:val="single" w:color="auto" w:sz="4" w:space="0"/>
              <w:left w:val="single" w:color="auto" w:sz="4" w:space="0"/>
              <w:bottom w:val="single" w:color="auto" w:sz="4" w:space="0"/>
              <w:right w:val="single" w:color="auto" w:sz="4" w:space="0"/>
            </w:tcBorders>
          </w:tcPr>
          <w:p w:rsidRPr="00C36A42" w:rsidR="00BD0426" w:rsidP="00C027B6" w:rsidRDefault="00BD0426" w14:paraId="4B500E96" w14:textId="77777777">
            <w:pPr>
              <w:rPr>
                <w:rFonts w:cs="Arial"/>
                <w:sz w:val="22"/>
                <w:lang w:eastAsia="en-GB"/>
              </w:rPr>
            </w:pPr>
          </w:p>
        </w:tc>
        <w:tc>
          <w:tcPr>
            <w:tcW w:w="9124" w:type="dxa"/>
            <w:tcBorders>
              <w:top w:val="single" w:color="auto" w:sz="4" w:space="0"/>
              <w:left w:val="single" w:color="auto" w:sz="4" w:space="0"/>
              <w:bottom w:val="single" w:color="auto" w:sz="4" w:space="0"/>
              <w:right w:val="single" w:color="auto" w:sz="4" w:space="0"/>
            </w:tcBorders>
          </w:tcPr>
          <w:p w:rsidRPr="00C36A42" w:rsidR="00245AB6" w:rsidP="006F6F61" w:rsidRDefault="00245AB6" w14:paraId="04F46BCA" w14:textId="77777777">
            <w:pPr>
              <w:pStyle w:val="ListParagraph"/>
              <w:numPr>
                <w:ilvl w:val="0"/>
                <w:numId w:val="5"/>
              </w:numPr>
              <w:rPr>
                <w:rFonts w:cs="Arial"/>
                <w:sz w:val="22"/>
                <w:lang w:eastAsia="en-GB"/>
              </w:rPr>
            </w:pPr>
            <w:r w:rsidRPr="00C36A42">
              <w:rPr>
                <w:rFonts w:cs="Arial"/>
                <w:sz w:val="22"/>
                <w:lang w:eastAsia="en-GB"/>
              </w:rPr>
              <w:t xml:space="preserve">CIL receipts from previous years retained at the end of the reported year other than those to which regulation 59E or 59F applied </w:t>
            </w:r>
          </w:p>
          <w:p w:rsidRPr="00C36A42" w:rsidR="00BD0426" w:rsidP="00245AB6" w:rsidRDefault="00245AB6" w14:paraId="594C60AA" w14:textId="52042B0D">
            <w:pPr>
              <w:rPr>
                <w:rFonts w:cs="Arial"/>
                <w:sz w:val="22"/>
                <w:lang w:eastAsia="en-GB"/>
              </w:rPr>
            </w:pPr>
            <w:r w:rsidRPr="00C36A42">
              <w:rPr>
                <w:rFonts w:cs="Arial"/>
                <w:sz w:val="22"/>
                <w:lang w:eastAsia="en-GB"/>
              </w:rPr>
              <w:t xml:space="preserve">  </w:t>
            </w:r>
          </w:p>
        </w:tc>
        <w:tc>
          <w:tcPr>
            <w:tcW w:w="3118" w:type="dxa"/>
            <w:tcBorders>
              <w:top w:val="single" w:color="auto" w:sz="4" w:space="0"/>
              <w:left w:val="single" w:color="auto" w:sz="4" w:space="0"/>
              <w:bottom w:val="single" w:color="auto" w:sz="4" w:space="0"/>
              <w:right w:val="single" w:color="auto" w:sz="4" w:space="0"/>
            </w:tcBorders>
          </w:tcPr>
          <w:p w:rsidR="000330D9" w:rsidP="00C027B6" w:rsidRDefault="00DF7158" w14:paraId="7934B099" w14:textId="4D3EAB74">
            <w:pPr>
              <w:rPr>
                <w:rFonts w:cs="Arial"/>
                <w:sz w:val="22"/>
                <w:lang w:eastAsia="en-GB"/>
              </w:rPr>
            </w:pPr>
            <w:r>
              <w:rPr>
                <w:rFonts w:cs="Arial"/>
                <w:sz w:val="22"/>
                <w:lang w:eastAsia="en-GB"/>
              </w:rPr>
              <w:t xml:space="preserve">£41,059.16 </w:t>
            </w:r>
            <w:r w:rsidR="00A53506">
              <w:rPr>
                <w:rFonts w:cs="Arial"/>
                <w:sz w:val="22"/>
                <w:lang w:eastAsia="en-GB"/>
              </w:rPr>
              <w:t>(</w:t>
            </w:r>
            <w:r w:rsidR="000330D9">
              <w:rPr>
                <w:rFonts w:cs="Arial"/>
                <w:sz w:val="22"/>
                <w:lang w:eastAsia="en-GB"/>
              </w:rPr>
              <w:t>April 24</w:t>
            </w:r>
            <w:r w:rsidR="00A53506">
              <w:rPr>
                <w:rFonts w:cs="Arial"/>
                <w:sz w:val="22"/>
                <w:lang w:eastAsia="en-GB"/>
              </w:rPr>
              <w:t xml:space="preserve"> payment returned from GNGB)</w:t>
            </w:r>
          </w:p>
          <w:p w:rsidRPr="00C36A42" w:rsidR="000330D9" w:rsidP="000330D9" w:rsidRDefault="000330D9" w14:paraId="6225413B" w14:textId="5F8C358C">
            <w:pPr>
              <w:rPr>
                <w:rFonts w:cs="Arial"/>
                <w:sz w:val="22"/>
                <w:lang w:eastAsia="en-GB"/>
              </w:rPr>
            </w:pPr>
            <w:r>
              <w:rPr>
                <w:rFonts w:cs="Arial"/>
                <w:sz w:val="22"/>
                <w:lang w:eastAsia="en-GB"/>
              </w:rPr>
              <w:t xml:space="preserve">£92,443.79 </w:t>
            </w:r>
            <w:r w:rsidR="00A53506">
              <w:rPr>
                <w:rFonts w:cs="Arial"/>
                <w:sz w:val="22"/>
                <w:lang w:eastAsia="en-GB"/>
              </w:rPr>
              <w:t>(</w:t>
            </w:r>
            <w:r>
              <w:rPr>
                <w:rFonts w:cs="Arial"/>
                <w:sz w:val="22"/>
                <w:lang w:eastAsia="en-GB"/>
              </w:rPr>
              <w:t>Oct 23</w:t>
            </w:r>
            <w:r w:rsidR="00A53506">
              <w:rPr>
                <w:rFonts w:cs="Arial"/>
                <w:sz w:val="22"/>
                <w:lang w:eastAsia="en-GB"/>
              </w:rPr>
              <w:t xml:space="preserve"> Payment returned from GNGB)</w:t>
            </w:r>
            <w:r>
              <w:rPr>
                <w:rFonts w:cs="Arial"/>
                <w:sz w:val="22"/>
                <w:lang w:eastAsia="en-GB"/>
              </w:rPr>
              <w:t xml:space="preserve"> </w:t>
            </w:r>
          </w:p>
        </w:tc>
      </w:tr>
      <w:tr w:rsidRPr="00C36A42" w:rsidR="006F6F61" w:rsidTr="00C36A42" w14:paraId="341A02C1" w14:textId="77777777">
        <w:tc>
          <w:tcPr>
            <w:tcW w:w="1537" w:type="dxa"/>
            <w:tcBorders>
              <w:top w:val="single" w:color="auto" w:sz="4" w:space="0"/>
              <w:left w:val="single" w:color="auto" w:sz="4" w:space="0"/>
              <w:bottom w:val="single" w:color="auto" w:sz="4" w:space="0"/>
              <w:right w:val="single" w:color="auto" w:sz="4" w:space="0"/>
            </w:tcBorders>
          </w:tcPr>
          <w:p w:rsidRPr="00C36A42" w:rsidR="006F6F61" w:rsidP="00C027B6" w:rsidRDefault="006F6F61" w14:paraId="18C826CD" w14:textId="77777777">
            <w:pPr>
              <w:rPr>
                <w:rFonts w:cs="Arial"/>
                <w:sz w:val="22"/>
                <w:lang w:eastAsia="en-GB"/>
              </w:rPr>
            </w:pPr>
          </w:p>
        </w:tc>
        <w:tc>
          <w:tcPr>
            <w:tcW w:w="9124" w:type="dxa"/>
            <w:tcBorders>
              <w:top w:val="single" w:color="auto" w:sz="4" w:space="0"/>
              <w:left w:val="single" w:color="auto" w:sz="4" w:space="0"/>
              <w:bottom w:val="single" w:color="auto" w:sz="4" w:space="0"/>
              <w:right w:val="single" w:color="auto" w:sz="4" w:space="0"/>
            </w:tcBorders>
          </w:tcPr>
          <w:p w:rsidRPr="00C36A42" w:rsidR="006F6F61" w:rsidP="006F6F61" w:rsidRDefault="00245AB6" w14:paraId="0E3D5063" w14:textId="77777777">
            <w:pPr>
              <w:pStyle w:val="ListParagraph"/>
              <w:numPr>
                <w:ilvl w:val="0"/>
                <w:numId w:val="5"/>
              </w:numPr>
              <w:rPr>
                <w:rFonts w:cs="Arial"/>
                <w:sz w:val="22"/>
                <w:lang w:eastAsia="en-GB"/>
              </w:rPr>
            </w:pPr>
            <w:r w:rsidRPr="00C36A42">
              <w:rPr>
                <w:rFonts w:cs="Arial"/>
                <w:sz w:val="22"/>
                <w:lang w:eastAsia="en-GB"/>
              </w:rPr>
              <w:t xml:space="preserve">CIL receipts for the reported year to which regulation 59E or 59F applied retained at the end of the reported year </w:t>
            </w:r>
          </w:p>
          <w:p w:rsidRPr="00C36A42" w:rsidR="00651401" w:rsidP="00651401" w:rsidRDefault="00651401" w14:paraId="518546E9" w14:textId="01B81654">
            <w:pPr>
              <w:rPr>
                <w:rFonts w:cs="Arial"/>
                <w:sz w:val="22"/>
                <w:lang w:eastAsia="en-GB"/>
              </w:rPr>
            </w:pPr>
          </w:p>
        </w:tc>
        <w:tc>
          <w:tcPr>
            <w:tcW w:w="3118" w:type="dxa"/>
            <w:tcBorders>
              <w:top w:val="single" w:color="auto" w:sz="4" w:space="0"/>
              <w:left w:val="single" w:color="auto" w:sz="4" w:space="0"/>
              <w:bottom w:val="single" w:color="auto" w:sz="4" w:space="0"/>
              <w:right w:val="single" w:color="auto" w:sz="4" w:space="0"/>
            </w:tcBorders>
          </w:tcPr>
          <w:p w:rsidRPr="00C36A42" w:rsidR="006F6F61" w:rsidP="00C027B6" w:rsidRDefault="00811AA0" w14:paraId="00FE3A94" w14:textId="19FF14F0">
            <w:pPr>
              <w:rPr>
                <w:rFonts w:cs="Arial"/>
                <w:sz w:val="22"/>
                <w:lang w:eastAsia="en-GB"/>
              </w:rPr>
            </w:pPr>
            <w:r>
              <w:t>N</w:t>
            </w:r>
            <w:r w:rsidR="003215F3">
              <w:t>il</w:t>
            </w:r>
          </w:p>
        </w:tc>
      </w:tr>
      <w:tr w:rsidRPr="00C36A42" w:rsidR="006F6F61" w:rsidTr="00C36A42" w14:paraId="6C6709FA" w14:textId="77777777">
        <w:tc>
          <w:tcPr>
            <w:tcW w:w="1537" w:type="dxa"/>
            <w:tcBorders>
              <w:top w:val="single" w:color="auto" w:sz="4" w:space="0"/>
              <w:left w:val="single" w:color="auto" w:sz="4" w:space="0"/>
              <w:bottom w:val="single" w:color="auto" w:sz="4" w:space="0"/>
              <w:right w:val="single" w:color="auto" w:sz="4" w:space="0"/>
            </w:tcBorders>
          </w:tcPr>
          <w:p w:rsidRPr="00C36A42" w:rsidR="006F6F61" w:rsidP="00C027B6" w:rsidRDefault="006F6F61" w14:paraId="64E8686D" w14:textId="77777777">
            <w:pPr>
              <w:rPr>
                <w:rFonts w:cs="Arial"/>
                <w:sz w:val="22"/>
                <w:lang w:eastAsia="en-GB"/>
              </w:rPr>
            </w:pPr>
          </w:p>
        </w:tc>
        <w:tc>
          <w:tcPr>
            <w:tcW w:w="9124" w:type="dxa"/>
            <w:tcBorders>
              <w:top w:val="single" w:color="auto" w:sz="4" w:space="0"/>
              <w:left w:val="single" w:color="auto" w:sz="4" w:space="0"/>
              <w:bottom w:val="single" w:color="auto" w:sz="4" w:space="0"/>
              <w:right w:val="single" w:color="auto" w:sz="4" w:space="0"/>
            </w:tcBorders>
          </w:tcPr>
          <w:p w:rsidRPr="00C36A42" w:rsidR="006F6F61" w:rsidP="006F6F61" w:rsidRDefault="00245AB6" w14:paraId="44AC5AE8" w14:textId="77777777">
            <w:pPr>
              <w:pStyle w:val="ListParagraph"/>
              <w:numPr>
                <w:ilvl w:val="0"/>
                <w:numId w:val="5"/>
              </w:numPr>
              <w:rPr>
                <w:rFonts w:cs="Arial"/>
                <w:sz w:val="22"/>
                <w:lang w:eastAsia="en-GB"/>
              </w:rPr>
            </w:pPr>
            <w:r w:rsidRPr="00C36A42">
              <w:rPr>
                <w:rFonts w:cs="Arial"/>
                <w:sz w:val="22"/>
                <w:lang w:eastAsia="en-GB"/>
              </w:rPr>
              <w:t xml:space="preserve">CIL receipts from previous years to which regulation </w:t>
            </w:r>
            <w:r w:rsidRPr="00C36A42" w:rsidR="00651401">
              <w:rPr>
                <w:rFonts w:cs="Arial"/>
                <w:sz w:val="22"/>
                <w:lang w:eastAsia="en-GB"/>
              </w:rPr>
              <w:t xml:space="preserve">59E or 59F applied retained at the end of the reported year </w:t>
            </w:r>
          </w:p>
          <w:p w:rsidRPr="00C36A42" w:rsidR="00651401" w:rsidP="00651401" w:rsidRDefault="00651401" w14:paraId="42FAF96C" w14:textId="7539C7A1">
            <w:pPr>
              <w:rPr>
                <w:rFonts w:cs="Arial"/>
                <w:sz w:val="22"/>
                <w:lang w:eastAsia="en-GB"/>
              </w:rPr>
            </w:pPr>
          </w:p>
        </w:tc>
        <w:tc>
          <w:tcPr>
            <w:tcW w:w="3118" w:type="dxa"/>
            <w:tcBorders>
              <w:top w:val="single" w:color="auto" w:sz="4" w:space="0"/>
              <w:left w:val="single" w:color="auto" w:sz="4" w:space="0"/>
              <w:bottom w:val="single" w:color="auto" w:sz="4" w:space="0"/>
              <w:right w:val="single" w:color="auto" w:sz="4" w:space="0"/>
            </w:tcBorders>
          </w:tcPr>
          <w:p w:rsidRPr="00C36A42" w:rsidR="006F6F61" w:rsidP="00C027B6" w:rsidRDefault="003215F3" w14:paraId="313F81E5" w14:textId="741D9561">
            <w:pPr>
              <w:rPr>
                <w:rFonts w:cs="Arial"/>
                <w:sz w:val="22"/>
                <w:lang w:eastAsia="en-GB"/>
              </w:rPr>
            </w:pPr>
            <w:r>
              <w:t>Nil</w:t>
            </w:r>
            <w:r w:rsidR="00205D99">
              <w:t xml:space="preserve"> </w:t>
            </w:r>
          </w:p>
        </w:tc>
      </w:tr>
    </w:tbl>
    <w:p w:rsidRPr="00C36A42" w:rsidR="00651401" w:rsidP="00C027B6" w:rsidRDefault="00651401" w14:paraId="072020BC" w14:textId="1EBD4E0B">
      <w:pPr>
        <w:spacing w:after="0" w:line="240" w:lineRule="auto"/>
        <w:rPr>
          <w:rFonts w:ascii="Arial" w:hAnsi="Arial" w:eastAsia="Times New Roman" w:cs="Arial"/>
          <w:b/>
          <w:u w:val="single"/>
          <w:lang w:eastAsia="en-GB"/>
        </w:rPr>
      </w:pPr>
    </w:p>
    <w:p w:rsidRPr="00C36A42" w:rsidR="00164C21" w:rsidP="00164C21" w:rsidRDefault="00164C21" w14:paraId="3AC30551" w14:textId="53F1804B">
      <w:pPr>
        <w:spacing w:after="0" w:line="240" w:lineRule="auto"/>
        <w:rPr>
          <w:rFonts w:ascii="Arial" w:hAnsi="Arial" w:eastAsia="Times New Roman" w:cs="Arial"/>
          <w:lang w:eastAsia="en-GB"/>
        </w:rPr>
      </w:pPr>
      <w:r w:rsidRPr="00C36A42">
        <w:rPr>
          <w:rFonts w:ascii="Arial" w:hAnsi="Arial" w:eastAsia="Times New Roman" w:cs="Arial"/>
          <w:lang w:eastAsia="en-GB"/>
        </w:rPr>
        <w:t xml:space="preserve"> </w:t>
      </w:r>
    </w:p>
    <w:p w:rsidRPr="00DE6987" w:rsidR="00FB3BF4" w:rsidP="00C027B6" w:rsidRDefault="00FB3BF4" w14:paraId="0D3C5866" w14:textId="64EEE8D9">
      <w:pPr>
        <w:spacing w:after="0" w:line="240" w:lineRule="auto"/>
        <w:rPr>
          <w:rFonts w:ascii="Arial" w:hAnsi="Arial" w:eastAsia="Times New Roman" w:cs="Arial"/>
          <w:b/>
          <w:bCs/>
          <w:lang w:eastAsia="en-GB"/>
        </w:rPr>
      </w:pPr>
      <w:r w:rsidRPr="00DE6987">
        <w:rPr>
          <w:rFonts w:ascii="Arial" w:hAnsi="Arial" w:eastAsia="Times New Roman" w:cs="Arial"/>
          <w:b/>
          <w:bCs/>
          <w:lang w:eastAsia="en-GB"/>
        </w:rPr>
        <w:t>Funds were distributed to parishes and the GNGB in October 20</w:t>
      </w:r>
      <w:r w:rsidRPr="00DE6987" w:rsidR="00FB49D2">
        <w:rPr>
          <w:rFonts w:ascii="Arial" w:hAnsi="Arial" w:eastAsia="Times New Roman" w:cs="Arial"/>
          <w:b/>
          <w:bCs/>
          <w:lang w:eastAsia="en-GB"/>
        </w:rPr>
        <w:t>2</w:t>
      </w:r>
      <w:r w:rsidRPr="00DE6987" w:rsidR="00C0017B">
        <w:rPr>
          <w:rFonts w:ascii="Arial" w:hAnsi="Arial" w:eastAsia="Times New Roman" w:cs="Arial"/>
          <w:b/>
          <w:bCs/>
          <w:lang w:eastAsia="en-GB"/>
        </w:rPr>
        <w:t>4</w:t>
      </w:r>
      <w:r w:rsidRPr="00DE6987">
        <w:rPr>
          <w:rFonts w:ascii="Arial" w:hAnsi="Arial" w:eastAsia="Times New Roman" w:cs="Arial"/>
          <w:b/>
          <w:bCs/>
          <w:lang w:eastAsia="en-GB"/>
        </w:rPr>
        <w:t xml:space="preserve"> and April 202</w:t>
      </w:r>
      <w:r w:rsidRPr="00DE6987" w:rsidR="00C0017B">
        <w:rPr>
          <w:rFonts w:ascii="Arial" w:hAnsi="Arial" w:eastAsia="Times New Roman" w:cs="Arial"/>
          <w:b/>
          <w:bCs/>
          <w:lang w:eastAsia="en-GB"/>
        </w:rPr>
        <w:t>5</w:t>
      </w:r>
      <w:r w:rsidRPr="00DE6987">
        <w:rPr>
          <w:rFonts w:ascii="Arial" w:hAnsi="Arial" w:eastAsia="Times New Roman" w:cs="Arial"/>
          <w:b/>
          <w:bCs/>
          <w:lang w:eastAsia="en-GB"/>
        </w:rPr>
        <w:t xml:space="preserve"> </w:t>
      </w:r>
    </w:p>
    <w:p w:rsidR="00164C21" w:rsidP="00C027B6" w:rsidRDefault="00164C21" w14:paraId="73565DD0" w14:textId="77777777">
      <w:pPr>
        <w:spacing w:after="0" w:line="240" w:lineRule="auto"/>
        <w:rPr>
          <w:rFonts w:ascii="Arial" w:hAnsi="Arial" w:eastAsia="Times New Roman" w:cs="Arial"/>
          <w:sz w:val="20"/>
          <w:szCs w:val="20"/>
          <w:lang w:eastAsia="en-GB"/>
        </w:rPr>
      </w:pPr>
    </w:p>
    <w:p w:rsidR="002D737B" w:rsidP="00C027B6" w:rsidRDefault="002D737B" w14:paraId="7B89FEC1" w14:textId="77777777">
      <w:pPr>
        <w:spacing w:after="0" w:line="240" w:lineRule="auto"/>
        <w:rPr>
          <w:rFonts w:ascii="Arial" w:hAnsi="Arial" w:eastAsia="Times New Roman" w:cs="Arial"/>
          <w:sz w:val="20"/>
          <w:szCs w:val="20"/>
          <w:lang w:eastAsia="en-GB"/>
        </w:rPr>
      </w:pPr>
    </w:p>
    <w:p w:rsidR="002D737B" w:rsidRDefault="002D737B" w14:paraId="111B0321" w14:textId="4D587BBA">
      <w:pPr>
        <w:rPr>
          <w:rFonts w:ascii="Arial" w:hAnsi="Arial" w:eastAsia="Times New Roman" w:cs="Arial"/>
          <w:sz w:val="20"/>
          <w:szCs w:val="20"/>
          <w:lang w:eastAsia="en-GB"/>
        </w:rPr>
      </w:pPr>
      <w:r>
        <w:rPr>
          <w:rFonts w:ascii="Arial" w:hAnsi="Arial" w:eastAsia="Times New Roman" w:cs="Arial"/>
          <w:sz w:val="20"/>
          <w:szCs w:val="20"/>
          <w:lang w:eastAsia="en-GB"/>
        </w:rPr>
        <w:br w:type="page"/>
      </w:r>
    </w:p>
    <w:p w:rsidRPr="002D737B" w:rsidR="002D737B" w:rsidP="00C027B6" w:rsidRDefault="002D737B" w14:paraId="2BA5B093" w14:textId="13C15C6B">
      <w:pPr>
        <w:spacing w:after="0" w:line="240" w:lineRule="auto"/>
        <w:rPr>
          <w:rFonts w:ascii="Arial" w:hAnsi="Arial" w:eastAsia="Times New Roman" w:cs="Arial"/>
          <w:b/>
          <w:bCs/>
          <w:sz w:val="24"/>
          <w:szCs w:val="24"/>
          <w:lang w:eastAsia="en-GB"/>
        </w:rPr>
      </w:pPr>
      <w:bookmarkStart w:name="_Hlk215138971" w:id="7"/>
      <w:r w:rsidRPr="002D737B">
        <w:rPr>
          <w:rFonts w:ascii="Arial" w:hAnsi="Arial" w:eastAsia="Times New Roman" w:cs="Arial"/>
          <w:b/>
          <w:bCs/>
          <w:sz w:val="24"/>
          <w:szCs w:val="24"/>
          <w:lang w:eastAsia="en-GB"/>
        </w:rPr>
        <w:lastRenderedPageBreak/>
        <w:t>Breakdown of Parish CIL</w:t>
      </w:r>
      <w:r w:rsidR="00C35504">
        <w:rPr>
          <w:rFonts w:ascii="Arial" w:hAnsi="Arial" w:eastAsia="Times New Roman" w:cs="Arial"/>
          <w:b/>
          <w:bCs/>
          <w:sz w:val="24"/>
          <w:szCs w:val="24"/>
          <w:lang w:eastAsia="en-GB"/>
        </w:rPr>
        <w:t xml:space="preserve"> distributed in</w:t>
      </w:r>
      <w:r w:rsidRPr="002D737B">
        <w:rPr>
          <w:rFonts w:ascii="Arial" w:hAnsi="Arial" w:eastAsia="Times New Roman" w:cs="Arial"/>
          <w:b/>
          <w:bCs/>
          <w:sz w:val="24"/>
          <w:szCs w:val="24"/>
          <w:lang w:eastAsia="en-GB"/>
        </w:rPr>
        <w:t xml:space="preserve"> 2024</w:t>
      </w:r>
      <w:r w:rsidR="00C35504">
        <w:rPr>
          <w:rFonts w:ascii="Arial" w:hAnsi="Arial" w:eastAsia="Times New Roman" w:cs="Arial"/>
          <w:b/>
          <w:bCs/>
          <w:sz w:val="24"/>
          <w:szCs w:val="24"/>
          <w:lang w:eastAsia="en-GB"/>
        </w:rPr>
        <w:t xml:space="preserve"> </w:t>
      </w:r>
      <w:r w:rsidRPr="002D737B">
        <w:rPr>
          <w:rFonts w:ascii="Arial" w:hAnsi="Arial" w:eastAsia="Times New Roman" w:cs="Arial"/>
          <w:b/>
          <w:bCs/>
          <w:sz w:val="24"/>
          <w:szCs w:val="24"/>
          <w:lang w:eastAsia="en-GB"/>
        </w:rPr>
        <w:t>- 2025</w:t>
      </w:r>
    </w:p>
    <w:bookmarkEnd w:id="7"/>
    <w:p w:rsidR="002D737B" w:rsidP="00C027B6" w:rsidRDefault="002D737B" w14:paraId="0C7F8594" w14:textId="77777777">
      <w:pPr>
        <w:spacing w:after="0" w:line="240" w:lineRule="auto"/>
        <w:rPr>
          <w:rFonts w:ascii="Arial" w:hAnsi="Arial" w:eastAsia="Times New Roman" w:cs="Arial"/>
          <w:sz w:val="20"/>
          <w:szCs w:val="20"/>
          <w:lang w:eastAsia="en-GB"/>
        </w:rPr>
      </w:pPr>
    </w:p>
    <w:tbl>
      <w:tblPr>
        <w:tblStyle w:val="TableGrid"/>
        <w:tblW w:w="0" w:type="auto"/>
        <w:tblLook w:val="04A0" w:firstRow="1" w:lastRow="0" w:firstColumn="1" w:lastColumn="0" w:noHBand="0" w:noVBand="1"/>
      </w:tblPr>
      <w:tblGrid>
        <w:gridCol w:w="2800"/>
        <w:gridCol w:w="3432"/>
      </w:tblGrid>
      <w:tr w:rsidRPr="002D737B" w:rsidR="00C35504" w:rsidTr="00C35504" w14:paraId="719FEE18" w14:textId="77777777">
        <w:trPr>
          <w:trHeight w:val="300"/>
        </w:trPr>
        <w:tc>
          <w:tcPr>
            <w:tcW w:w="2800" w:type="dxa"/>
            <w:noWrap/>
          </w:tcPr>
          <w:p w:rsidRPr="00C35504" w:rsidR="00C35504" w:rsidP="002D737B" w:rsidRDefault="00C35504" w14:paraId="1D44F4BA" w14:textId="65A4050A">
            <w:pPr>
              <w:rPr>
                <w:rFonts w:ascii="Arial" w:hAnsi="Arial" w:eastAsia="Times New Roman" w:cs="Arial"/>
                <w:b/>
                <w:bCs/>
                <w:sz w:val="24"/>
                <w:szCs w:val="24"/>
                <w:lang w:eastAsia="en-GB"/>
              </w:rPr>
            </w:pPr>
            <w:r w:rsidRPr="00C35504">
              <w:rPr>
                <w:rFonts w:ascii="Arial" w:hAnsi="Arial" w:eastAsia="Times New Roman" w:cs="Arial"/>
                <w:b/>
                <w:bCs/>
                <w:sz w:val="24"/>
                <w:szCs w:val="24"/>
                <w:lang w:eastAsia="en-GB"/>
              </w:rPr>
              <w:t>Parish</w:t>
            </w:r>
          </w:p>
        </w:tc>
        <w:tc>
          <w:tcPr>
            <w:tcW w:w="3432" w:type="dxa"/>
            <w:noWrap/>
          </w:tcPr>
          <w:p w:rsidRPr="00C35504" w:rsidR="00C35504" w:rsidP="002D737B" w:rsidRDefault="00C35504" w14:paraId="796D4FEB" w14:textId="1EE112E1">
            <w:pPr>
              <w:rPr>
                <w:rFonts w:ascii="Arial" w:hAnsi="Arial" w:eastAsia="Times New Roman" w:cs="Arial"/>
                <w:b/>
                <w:bCs/>
                <w:sz w:val="24"/>
                <w:szCs w:val="24"/>
                <w:lang w:eastAsia="en-GB"/>
              </w:rPr>
            </w:pPr>
            <w:r w:rsidRPr="00C35504">
              <w:rPr>
                <w:rFonts w:ascii="Arial" w:hAnsi="Arial" w:eastAsia="Times New Roman" w:cs="Arial"/>
                <w:b/>
                <w:bCs/>
                <w:sz w:val="24"/>
                <w:szCs w:val="24"/>
                <w:lang w:eastAsia="en-GB"/>
              </w:rPr>
              <w:t>Payment to Parish for 24/25</w:t>
            </w:r>
          </w:p>
        </w:tc>
      </w:tr>
      <w:tr w:rsidRPr="002D737B" w:rsidR="002D737B" w:rsidTr="00C35504" w14:paraId="2E2595C5" w14:textId="77777777">
        <w:trPr>
          <w:trHeight w:val="300"/>
        </w:trPr>
        <w:tc>
          <w:tcPr>
            <w:tcW w:w="2800" w:type="dxa"/>
            <w:noWrap/>
            <w:hideMark/>
          </w:tcPr>
          <w:p w:rsidRPr="003C35AF" w:rsidR="002D737B" w:rsidP="002D737B" w:rsidRDefault="002D737B" w14:paraId="637AF7B9" w14:textId="77777777">
            <w:pPr>
              <w:rPr>
                <w:rFonts w:ascii="Arial" w:hAnsi="Arial" w:eastAsia="Times New Roman" w:cs="Arial"/>
                <w:sz w:val="24"/>
                <w:szCs w:val="24"/>
                <w:lang w:eastAsia="en-GB"/>
              </w:rPr>
            </w:pPr>
            <w:r w:rsidRPr="003C35AF">
              <w:rPr>
                <w:rFonts w:ascii="Arial" w:hAnsi="Arial" w:eastAsia="Times New Roman" w:cs="Arial"/>
                <w:sz w:val="24"/>
                <w:szCs w:val="24"/>
                <w:lang w:eastAsia="en-GB"/>
              </w:rPr>
              <w:t>Acle</w:t>
            </w:r>
          </w:p>
        </w:tc>
        <w:tc>
          <w:tcPr>
            <w:tcW w:w="3432" w:type="dxa"/>
            <w:noWrap/>
            <w:hideMark/>
          </w:tcPr>
          <w:p w:rsidRPr="003C35AF" w:rsidR="002D737B" w:rsidP="002D737B" w:rsidRDefault="002D737B" w14:paraId="7F7E5F93" w14:textId="77777777">
            <w:pPr>
              <w:rPr>
                <w:rFonts w:ascii="Arial" w:hAnsi="Arial" w:eastAsia="Times New Roman" w:cs="Arial"/>
                <w:sz w:val="24"/>
                <w:szCs w:val="24"/>
                <w:lang w:eastAsia="en-GB"/>
              </w:rPr>
            </w:pPr>
            <w:r w:rsidRPr="003C35AF">
              <w:rPr>
                <w:rFonts w:ascii="Arial" w:hAnsi="Arial" w:eastAsia="Times New Roman" w:cs="Arial"/>
                <w:sz w:val="24"/>
                <w:szCs w:val="24"/>
                <w:lang w:eastAsia="en-GB"/>
              </w:rPr>
              <w:t>£15,908.66</w:t>
            </w:r>
          </w:p>
        </w:tc>
      </w:tr>
      <w:tr w:rsidRPr="002D737B" w:rsidR="002D737B" w:rsidTr="00C35504" w14:paraId="7E5DB6FC" w14:textId="77777777">
        <w:trPr>
          <w:trHeight w:val="300"/>
        </w:trPr>
        <w:tc>
          <w:tcPr>
            <w:tcW w:w="2800" w:type="dxa"/>
            <w:noWrap/>
            <w:hideMark/>
          </w:tcPr>
          <w:p w:rsidRPr="003C35AF" w:rsidR="002D737B" w:rsidP="002D737B" w:rsidRDefault="002D737B" w14:paraId="72EF7AB5" w14:textId="77777777">
            <w:pPr>
              <w:rPr>
                <w:rFonts w:ascii="Arial" w:hAnsi="Arial" w:eastAsia="Times New Roman" w:cs="Arial"/>
                <w:sz w:val="24"/>
                <w:szCs w:val="24"/>
                <w:lang w:eastAsia="en-GB"/>
              </w:rPr>
            </w:pPr>
            <w:proofErr w:type="spellStart"/>
            <w:r w:rsidRPr="003C35AF">
              <w:rPr>
                <w:rFonts w:ascii="Arial" w:hAnsi="Arial" w:eastAsia="Times New Roman" w:cs="Arial"/>
                <w:sz w:val="24"/>
                <w:szCs w:val="24"/>
                <w:lang w:eastAsia="en-GB"/>
              </w:rPr>
              <w:t>Attlebridge</w:t>
            </w:r>
            <w:proofErr w:type="spellEnd"/>
          </w:p>
        </w:tc>
        <w:tc>
          <w:tcPr>
            <w:tcW w:w="3432" w:type="dxa"/>
            <w:noWrap/>
            <w:hideMark/>
          </w:tcPr>
          <w:p w:rsidRPr="003C35AF" w:rsidR="002D737B" w:rsidP="002D737B" w:rsidRDefault="002D737B" w14:paraId="68437148" w14:textId="77777777">
            <w:pPr>
              <w:rPr>
                <w:rFonts w:ascii="Arial" w:hAnsi="Arial" w:eastAsia="Times New Roman" w:cs="Arial"/>
                <w:sz w:val="24"/>
                <w:szCs w:val="24"/>
                <w:lang w:eastAsia="en-GB"/>
              </w:rPr>
            </w:pPr>
            <w:r w:rsidRPr="003C35AF">
              <w:rPr>
                <w:rFonts w:ascii="Arial" w:hAnsi="Arial" w:eastAsia="Times New Roman" w:cs="Arial"/>
                <w:sz w:val="24"/>
                <w:szCs w:val="24"/>
                <w:lang w:eastAsia="en-GB"/>
              </w:rPr>
              <w:t>£281.92</w:t>
            </w:r>
          </w:p>
        </w:tc>
      </w:tr>
      <w:tr w:rsidRPr="002D737B" w:rsidR="002D737B" w:rsidTr="00C35504" w14:paraId="5E54B89E" w14:textId="77777777">
        <w:trPr>
          <w:trHeight w:val="300"/>
        </w:trPr>
        <w:tc>
          <w:tcPr>
            <w:tcW w:w="2800" w:type="dxa"/>
            <w:noWrap/>
            <w:hideMark/>
          </w:tcPr>
          <w:p w:rsidRPr="003C35AF" w:rsidR="002D737B" w:rsidP="002D737B" w:rsidRDefault="002D737B" w14:paraId="6C41EDF6" w14:textId="77777777">
            <w:pPr>
              <w:rPr>
                <w:rFonts w:ascii="Arial" w:hAnsi="Arial" w:eastAsia="Times New Roman" w:cs="Arial"/>
                <w:sz w:val="24"/>
                <w:szCs w:val="24"/>
                <w:lang w:eastAsia="en-GB"/>
              </w:rPr>
            </w:pPr>
            <w:r w:rsidRPr="003C35AF">
              <w:rPr>
                <w:rFonts w:ascii="Arial" w:hAnsi="Arial" w:eastAsia="Times New Roman" w:cs="Arial"/>
                <w:sz w:val="24"/>
                <w:szCs w:val="24"/>
                <w:lang w:eastAsia="en-GB"/>
              </w:rPr>
              <w:t>Aylsham</w:t>
            </w:r>
          </w:p>
        </w:tc>
        <w:tc>
          <w:tcPr>
            <w:tcW w:w="3432" w:type="dxa"/>
            <w:noWrap/>
            <w:hideMark/>
          </w:tcPr>
          <w:p w:rsidRPr="003C35AF" w:rsidR="002D737B" w:rsidP="002D737B" w:rsidRDefault="002D737B" w14:paraId="3852DF7E" w14:textId="77777777">
            <w:pPr>
              <w:rPr>
                <w:rFonts w:ascii="Arial" w:hAnsi="Arial" w:eastAsia="Times New Roman" w:cs="Arial"/>
                <w:sz w:val="24"/>
                <w:szCs w:val="24"/>
                <w:lang w:eastAsia="en-GB"/>
              </w:rPr>
            </w:pPr>
            <w:r w:rsidRPr="003C35AF">
              <w:rPr>
                <w:rFonts w:ascii="Arial" w:hAnsi="Arial" w:eastAsia="Times New Roman" w:cs="Arial"/>
                <w:sz w:val="24"/>
                <w:szCs w:val="24"/>
                <w:lang w:eastAsia="en-GB"/>
              </w:rPr>
              <w:t>£8,831.37</w:t>
            </w:r>
          </w:p>
        </w:tc>
      </w:tr>
      <w:tr w:rsidRPr="002D737B" w:rsidR="002D737B" w:rsidTr="00C35504" w14:paraId="524D8C85" w14:textId="77777777">
        <w:trPr>
          <w:trHeight w:val="300"/>
        </w:trPr>
        <w:tc>
          <w:tcPr>
            <w:tcW w:w="2800" w:type="dxa"/>
            <w:hideMark/>
          </w:tcPr>
          <w:p w:rsidRPr="003C35AF" w:rsidR="002D737B" w:rsidP="002D737B" w:rsidRDefault="002D737B" w14:paraId="733B690D" w14:textId="77777777">
            <w:pPr>
              <w:rPr>
                <w:rFonts w:ascii="Arial" w:hAnsi="Arial" w:eastAsia="Times New Roman" w:cs="Arial"/>
                <w:sz w:val="24"/>
                <w:szCs w:val="24"/>
                <w:lang w:eastAsia="en-GB"/>
              </w:rPr>
            </w:pPr>
            <w:r w:rsidRPr="003C35AF">
              <w:rPr>
                <w:rFonts w:ascii="Arial" w:hAnsi="Arial" w:eastAsia="Times New Roman" w:cs="Arial"/>
                <w:sz w:val="24"/>
                <w:szCs w:val="24"/>
                <w:lang w:eastAsia="en-GB"/>
              </w:rPr>
              <w:t>Belaugh</w:t>
            </w:r>
          </w:p>
        </w:tc>
        <w:tc>
          <w:tcPr>
            <w:tcW w:w="3432" w:type="dxa"/>
            <w:noWrap/>
            <w:hideMark/>
          </w:tcPr>
          <w:p w:rsidRPr="003C35AF" w:rsidR="002D737B" w:rsidP="002D737B" w:rsidRDefault="002D737B" w14:paraId="493A07E4" w14:textId="77777777">
            <w:pPr>
              <w:rPr>
                <w:rFonts w:ascii="Arial" w:hAnsi="Arial" w:eastAsia="Times New Roman" w:cs="Arial"/>
                <w:sz w:val="24"/>
                <w:szCs w:val="24"/>
                <w:lang w:eastAsia="en-GB"/>
              </w:rPr>
            </w:pPr>
            <w:r w:rsidRPr="003C35AF">
              <w:rPr>
                <w:rFonts w:ascii="Arial" w:hAnsi="Arial" w:eastAsia="Times New Roman" w:cs="Arial"/>
                <w:sz w:val="24"/>
                <w:szCs w:val="24"/>
                <w:lang w:eastAsia="en-GB"/>
              </w:rPr>
              <w:t>£376.86</w:t>
            </w:r>
          </w:p>
        </w:tc>
      </w:tr>
      <w:tr w:rsidRPr="002D737B" w:rsidR="002D737B" w:rsidTr="00C35504" w14:paraId="6D5A796C" w14:textId="77777777">
        <w:trPr>
          <w:trHeight w:val="300"/>
        </w:trPr>
        <w:tc>
          <w:tcPr>
            <w:tcW w:w="2800" w:type="dxa"/>
            <w:noWrap/>
            <w:hideMark/>
          </w:tcPr>
          <w:p w:rsidRPr="003C35AF" w:rsidR="002D737B" w:rsidP="002D737B" w:rsidRDefault="002D737B" w14:paraId="0414AA3B" w14:textId="77777777">
            <w:pPr>
              <w:rPr>
                <w:rFonts w:ascii="Arial" w:hAnsi="Arial" w:eastAsia="Times New Roman" w:cs="Arial"/>
                <w:sz w:val="24"/>
                <w:szCs w:val="24"/>
                <w:lang w:eastAsia="en-GB"/>
              </w:rPr>
            </w:pPr>
            <w:proofErr w:type="spellStart"/>
            <w:r w:rsidRPr="003C35AF">
              <w:rPr>
                <w:rFonts w:ascii="Arial" w:hAnsi="Arial" w:eastAsia="Times New Roman" w:cs="Arial"/>
                <w:sz w:val="24"/>
                <w:szCs w:val="24"/>
                <w:lang w:eastAsia="en-GB"/>
              </w:rPr>
              <w:t>Blofield</w:t>
            </w:r>
            <w:proofErr w:type="spellEnd"/>
          </w:p>
        </w:tc>
        <w:tc>
          <w:tcPr>
            <w:tcW w:w="3432" w:type="dxa"/>
            <w:noWrap/>
            <w:hideMark/>
          </w:tcPr>
          <w:p w:rsidRPr="003C35AF" w:rsidR="002D737B" w:rsidP="002D737B" w:rsidRDefault="002D737B" w14:paraId="27D339BB" w14:textId="77777777">
            <w:pPr>
              <w:rPr>
                <w:rFonts w:ascii="Arial" w:hAnsi="Arial" w:eastAsia="Times New Roman" w:cs="Arial"/>
                <w:sz w:val="24"/>
                <w:szCs w:val="24"/>
                <w:lang w:eastAsia="en-GB"/>
              </w:rPr>
            </w:pPr>
            <w:r w:rsidRPr="003C35AF">
              <w:rPr>
                <w:rFonts w:ascii="Arial" w:hAnsi="Arial" w:eastAsia="Times New Roman" w:cs="Arial"/>
                <w:sz w:val="24"/>
                <w:szCs w:val="24"/>
                <w:lang w:eastAsia="en-GB"/>
              </w:rPr>
              <w:t>£2,929.76</w:t>
            </w:r>
          </w:p>
        </w:tc>
      </w:tr>
      <w:tr w:rsidRPr="002D737B" w:rsidR="002D737B" w:rsidTr="00C35504" w14:paraId="70935953" w14:textId="77777777">
        <w:trPr>
          <w:trHeight w:val="300"/>
        </w:trPr>
        <w:tc>
          <w:tcPr>
            <w:tcW w:w="2800" w:type="dxa"/>
            <w:hideMark/>
          </w:tcPr>
          <w:p w:rsidRPr="003C35AF" w:rsidR="002D737B" w:rsidP="002D737B" w:rsidRDefault="002D737B" w14:paraId="42F110CE" w14:textId="77777777">
            <w:pPr>
              <w:rPr>
                <w:rFonts w:ascii="Arial" w:hAnsi="Arial" w:eastAsia="Times New Roman" w:cs="Arial"/>
                <w:sz w:val="24"/>
                <w:szCs w:val="24"/>
                <w:lang w:eastAsia="en-GB"/>
              </w:rPr>
            </w:pPr>
            <w:proofErr w:type="spellStart"/>
            <w:r w:rsidRPr="003C35AF">
              <w:rPr>
                <w:rFonts w:ascii="Arial" w:hAnsi="Arial" w:eastAsia="Times New Roman" w:cs="Arial"/>
                <w:sz w:val="24"/>
                <w:szCs w:val="24"/>
                <w:lang w:eastAsia="en-GB"/>
              </w:rPr>
              <w:t>Brundall</w:t>
            </w:r>
            <w:proofErr w:type="spellEnd"/>
          </w:p>
        </w:tc>
        <w:tc>
          <w:tcPr>
            <w:tcW w:w="3432" w:type="dxa"/>
            <w:noWrap/>
            <w:hideMark/>
          </w:tcPr>
          <w:p w:rsidRPr="003C35AF" w:rsidR="002D737B" w:rsidP="002D737B" w:rsidRDefault="002D737B" w14:paraId="351E9052" w14:textId="77777777">
            <w:pPr>
              <w:rPr>
                <w:rFonts w:ascii="Arial" w:hAnsi="Arial" w:eastAsia="Times New Roman" w:cs="Arial"/>
                <w:sz w:val="24"/>
                <w:szCs w:val="24"/>
                <w:lang w:eastAsia="en-GB"/>
              </w:rPr>
            </w:pPr>
            <w:r w:rsidRPr="003C35AF">
              <w:rPr>
                <w:rFonts w:ascii="Arial" w:hAnsi="Arial" w:eastAsia="Times New Roman" w:cs="Arial"/>
                <w:sz w:val="24"/>
                <w:szCs w:val="24"/>
                <w:lang w:eastAsia="en-GB"/>
              </w:rPr>
              <w:t>£15,658.84</w:t>
            </w:r>
          </w:p>
        </w:tc>
      </w:tr>
      <w:tr w:rsidRPr="002D737B" w:rsidR="002D737B" w:rsidTr="00C35504" w14:paraId="0F782E73" w14:textId="77777777">
        <w:trPr>
          <w:trHeight w:val="300"/>
        </w:trPr>
        <w:tc>
          <w:tcPr>
            <w:tcW w:w="2800" w:type="dxa"/>
            <w:hideMark/>
          </w:tcPr>
          <w:p w:rsidRPr="003C35AF" w:rsidR="002D737B" w:rsidP="002D737B" w:rsidRDefault="002D737B" w14:paraId="5FD6C68D" w14:textId="77777777">
            <w:pPr>
              <w:rPr>
                <w:rFonts w:ascii="Arial" w:hAnsi="Arial" w:eastAsia="Times New Roman" w:cs="Arial"/>
                <w:sz w:val="24"/>
                <w:szCs w:val="24"/>
                <w:lang w:eastAsia="en-GB"/>
              </w:rPr>
            </w:pPr>
            <w:r w:rsidRPr="003C35AF">
              <w:rPr>
                <w:rFonts w:ascii="Arial" w:hAnsi="Arial" w:eastAsia="Times New Roman" w:cs="Arial"/>
                <w:sz w:val="24"/>
                <w:szCs w:val="24"/>
                <w:lang w:eastAsia="en-GB"/>
              </w:rPr>
              <w:t>Cawston</w:t>
            </w:r>
          </w:p>
        </w:tc>
        <w:tc>
          <w:tcPr>
            <w:tcW w:w="3432" w:type="dxa"/>
            <w:noWrap/>
            <w:hideMark/>
          </w:tcPr>
          <w:p w:rsidRPr="003C35AF" w:rsidR="002D737B" w:rsidP="002D737B" w:rsidRDefault="002D737B" w14:paraId="4D8C03BC" w14:textId="77777777">
            <w:pPr>
              <w:rPr>
                <w:rFonts w:ascii="Arial" w:hAnsi="Arial" w:eastAsia="Times New Roman" w:cs="Arial"/>
                <w:sz w:val="24"/>
                <w:szCs w:val="24"/>
                <w:lang w:eastAsia="en-GB"/>
              </w:rPr>
            </w:pPr>
            <w:r w:rsidRPr="003C35AF">
              <w:rPr>
                <w:rFonts w:ascii="Arial" w:hAnsi="Arial" w:eastAsia="Times New Roman" w:cs="Arial"/>
                <w:sz w:val="24"/>
                <w:szCs w:val="24"/>
                <w:lang w:eastAsia="en-GB"/>
              </w:rPr>
              <w:t>£7,690.87</w:t>
            </w:r>
          </w:p>
        </w:tc>
      </w:tr>
      <w:tr w:rsidRPr="002D737B" w:rsidR="002D737B" w:rsidTr="00C35504" w14:paraId="1BFE8420" w14:textId="77777777">
        <w:trPr>
          <w:trHeight w:val="300"/>
        </w:trPr>
        <w:tc>
          <w:tcPr>
            <w:tcW w:w="2800" w:type="dxa"/>
            <w:noWrap/>
            <w:hideMark/>
          </w:tcPr>
          <w:p w:rsidRPr="003C35AF" w:rsidR="002D737B" w:rsidP="002D737B" w:rsidRDefault="002D737B" w14:paraId="109A9B84" w14:textId="77777777">
            <w:pPr>
              <w:rPr>
                <w:rFonts w:ascii="Arial" w:hAnsi="Arial" w:eastAsia="Times New Roman" w:cs="Arial"/>
                <w:sz w:val="24"/>
                <w:szCs w:val="24"/>
                <w:lang w:eastAsia="en-GB"/>
              </w:rPr>
            </w:pPr>
            <w:r w:rsidRPr="003C35AF">
              <w:rPr>
                <w:rFonts w:ascii="Arial" w:hAnsi="Arial" w:eastAsia="Times New Roman" w:cs="Arial"/>
                <w:sz w:val="24"/>
                <w:szCs w:val="24"/>
                <w:lang w:eastAsia="en-GB"/>
              </w:rPr>
              <w:t>Coltishall</w:t>
            </w:r>
          </w:p>
        </w:tc>
        <w:tc>
          <w:tcPr>
            <w:tcW w:w="3432" w:type="dxa"/>
            <w:noWrap/>
            <w:hideMark/>
          </w:tcPr>
          <w:p w:rsidRPr="003C35AF" w:rsidR="002D737B" w:rsidP="002D737B" w:rsidRDefault="002D737B" w14:paraId="164CD11A" w14:textId="77777777">
            <w:pPr>
              <w:rPr>
                <w:rFonts w:ascii="Arial" w:hAnsi="Arial" w:eastAsia="Times New Roman" w:cs="Arial"/>
                <w:sz w:val="24"/>
                <w:szCs w:val="24"/>
                <w:lang w:eastAsia="en-GB"/>
              </w:rPr>
            </w:pPr>
            <w:r w:rsidRPr="003C35AF">
              <w:rPr>
                <w:rFonts w:ascii="Arial" w:hAnsi="Arial" w:eastAsia="Times New Roman" w:cs="Arial"/>
                <w:sz w:val="24"/>
                <w:szCs w:val="24"/>
                <w:lang w:eastAsia="en-GB"/>
              </w:rPr>
              <w:t>£7,292.30</w:t>
            </w:r>
          </w:p>
        </w:tc>
      </w:tr>
      <w:tr w:rsidRPr="002D737B" w:rsidR="002D737B" w:rsidTr="00C35504" w14:paraId="5D22B457" w14:textId="77777777">
        <w:trPr>
          <w:trHeight w:val="300"/>
        </w:trPr>
        <w:tc>
          <w:tcPr>
            <w:tcW w:w="2800" w:type="dxa"/>
            <w:noWrap/>
            <w:hideMark/>
          </w:tcPr>
          <w:p w:rsidRPr="003C35AF" w:rsidR="002D737B" w:rsidP="002D737B" w:rsidRDefault="002D737B" w14:paraId="0E1F8383" w14:textId="77777777">
            <w:pPr>
              <w:rPr>
                <w:rFonts w:ascii="Arial" w:hAnsi="Arial" w:eastAsia="Times New Roman" w:cs="Arial"/>
                <w:sz w:val="24"/>
                <w:szCs w:val="24"/>
                <w:lang w:eastAsia="en-GB"/>
              </w:rPr>
            </w:pPr>
            <w:r w:rsidRPr="003C35AF">
              <w:rPr>
                <w:rFonts w:ascii="Arial" w:hAnsi="Arial" w:eastAsia="Times New Roman" w:cs="Arial"/>
                <w:sz w:val="24"/>
                <w:szCs w:val="24"/>
                <w:lang w:eastAsia="en-GB"/>
              </w:rPr>
              <w:t>Drayton</w:t>
            </w:r>
          </w:p>
        </w:tc>
        <w:tc>
          <w:tcPr>
            <w:tcW w:w="3432" w:type="dxa"/>
            <w:noWrap/>
            <w:hideMark/>
          </w:tcPr>
          <w:p w:rsidRPr="003C35AF" w:rsidR="002D737B" w:rsidP="002D737B" w:rsidRDefault="002D737B" w14:paraId="6A0501CB" w14:textId="77777777">
            <w:pPr>
              <w:rPr>
                <w:rFonts w:ascii="Arial" w:hAnsi="Arial" w:eastAsia="Times New Roman" w:cs="Arial"/>
                <w:sz w:val="24"/>
                <w:szCs w:val="24"/>
                <w:lang w:eastAsia="en-GB"/>
              </w:rPr>
            </w:pPr>
            <w:r w:rsidRPr="003C35AF">
              <w:rPr>
                <w:rFonts w:ascii="Arial" w:hAnsi="Arial" w:eastAsia="Times New Roman" w:cs="Arial"/>
                <w:sz w:val="24"/>
                <w:szCs w:val="24"/>
                <w:lang w:eastAsia="en-GB"/>
              </w:rPr>
              <w:t>£17,353.68</w:t>
            </w:r>
          </w:p>
        </w:tc>
      </w:tr>
      <w:tr w:rsidRPr="002D737B" w:rsidR="002D737B" w:rsidTr="00C35504" w14:paraId="4E27D896" w14:textId="77777777">
        <w:trPr>
          <w:trHeight w:val="300"/>
        </w:trPr>
        <w:tc>
          <w:tcPr>
            <w:tcW w:w="2800" w:type="dxa"/>
            <w:hideMark/>
          </w:tcPr>
          <w:p w:rsidRPr="003C35AF" w:rsidR="002D737B" w:rsidP="002D737B" w:rsidRDefault="002D737B" w14:paraId="176D6784" w14:textId="77777777">
            <w:pPr>
              <w:rPr>
                <w:rFonts w:ascii="Arial" w:hAnsi="Arial" w:eastAsia="Times New Roman" w:cs="Arial"/>
                <w:sz w:val="24"/>
                <w:szCs w:val="24"/>
                <w:lang w:eastAsia="en-GB"/>
              </w:rPr>
            </w:pPr>
            <w:proofErr w:type="spellStart"/>
            <w:r w:rsidRPr="003C35AF">
              <w:rPr>
                <w:rFonts w:ascii="Arial" w:hAnsi="Arial" w:eastAsia="Times New Roman" w:cs="Arial"/>
                <w:sz w:val="24"/>
                <w:szCs w:val="24"/>
                <w:lang w:eastAsia="en-GB"/>
              </w:rPr>
              <w:t>Felthorpe</w:t>
            </w:r>
            <w:proofErr w:type="spellEnd"/>
          </w:p>
        </w:tc>
        <w:tc>
          <w:tcPr>
            <w:tcW w:w="3432" w:type="dxa"/>
            <w:noWrap/>
            <w:hideMark/>
          </w:tcPr>
          <w:p w:rsidRPr="003C35AF" w:rsidR="002D737B" w:rsidP="002D737B" w:rsidRDefault="002D737B" w14:paraId="5B28FABC" w14:textId="77777777">
            <w:pPr>
              <w:rPr>
                <w:rFonts w:ascii="Arial" w:hAnsi="Arial" w:eastAsia="Times New Roman" w:cs="Arial"/>
                <w:sz w:val="24"/>
                <w:szCs w:val="24"/>
                <w:lang w:eastAsia="en-GB"/>
              </w:rPr>
            </w:pPr>
            <w:r w:rsidRPr="003C35AF">
              <w:rPr>
                <w:rFonts w:ascii="Arial" w:hAnsi="Arial" w:eastAsia="Times New Roman" w:cs="Arial"/>
                <w:sz w:val="24"/>
                <w:szCs w:val="24"/>
                <w:lang w:eastAsia="en-GB"/>
              </w:rPr>
              <w:t>£225.84</w:t>
            </w:r>
          </w:p>
        </w:tc>
      </w:tr>
      <w:tr w:rsidRPr="002D737B" w:rsidR="002D737B" w:rsidTr="00C35504" w14:paraId="5A72AD80" w14:textId="77777777">
        <w:trPr>
          <w:trHeight w:val="300"/>
        </w:trPr>
        <w:tc>
          <w:tcPr>
            <w:tcW w:w="2800" w:type="dxa"/>
            <w:hideMark/>
          </w:tcPr>
          <w:p w:rsidRPr="003C35AF" w:rsidR="002D737B" w:rsidP="002D737B" w:rsidRDefault="002D737B" w14:paraId="69ACC79C" w14:textId="77777777">
            <w:pPr>
              <w:rPr>
                <w:rFonts w:ascii="Arial" w:hAnsi="Arial" w:eastAsia="Times New Roman" w:cs="Arial"/>
                <w:sz w:val="24"/>
                <w:szCs w:val="24"/>
                <w:lang w:eastAsia="en-GB"/>
              </w:rPr>
            </w:pPr>
            <w:r w:rsidRPr="003C35AF">
              <w:rPr>
                <w:rFonts w:ascii="Arial" w:hAnsi="Arial" w:eastAsia="Times New Roman" w:cs="Arial"/>
                <w:sz w:val="24"/>
                <w:szCs w:val="24"/>
                <w:lang w:eastAsia="en-GB"/>
              </w:rPr>
              <w:t>Freethorpe</w:t>
            </w:r>
          </w:p>
        </w:tc>
        <w:tc>
          <w:tcPr>
            <w:tcW w:w="3432" w:type="dxa"/>
            <w:noWrap/>
            <w:hideMark/>
          </w:tcPr>
          <w:p w:rsidRPr="003C35AF" w:rsidR="002D737B" w:rsidP="002D737B" w:rsidRDefault="002D737B" w14:paraId="247292B3" w14:textId="77777777">
            <w:pPr>
              <w:rPr>
                <w:rFonts w:ascii="Arial" w:hAnsi="Arial" w:eastAsia="Times New Roman" w:cs="Arial"/>
                <w:sz w:val="24"/>
                <w:szCs w:val="24"/>
                <w:lang w:eastAsia="en-GB"/>
              </w:rPr>
            </w:pPr>
            <w:r w:rsidRPr="003C35AF">
              <w:rPr>
                <w:rFonts w:ascii="Arial" w:hAnsi="Arial" w:eastAsia="Times New Roman" w:cs="Arial"/>
                <w:sz w:val="24"/>
                <w:szCs w:val="24"/>
                <w:lang w:eastAsia="en-GB"/>
              </w:rPr>
              <w:t>£20,372.26</w:t>
            </w:r>
          </w:p>
        </w:tc>
      </w:tr>
      <w:tr w:rsidRPr="002D737B" w:rsidR="002D737B" w:rsidTr="00C35504" w14:paraId="3DFF1497" w14:textId="77777777">
        <w:trPr>
          <w:trHeight w:val="300"/>
        </w:trPr>
        <w:tc>
          <w:tcPr>
            <w:tcW w:w="2800" w:type="dxa"/>
            <w:noWrap/>
            <w:hideMark/>
          </w:tcPr>
          <w:p w:rsidRPr="003C35AF" w:rsidR="002D737B" w:rsidP="002D737B" w:rsidRDefault="002D737B" w14:paraId="7C76E47C" w14:textId="77777777">
            <w:pPr>
              <w:rPr>
                <w:rFonts w:ascii="Arial" w:hAnsi="Arial" w:eastAsia="Times New Roman" w:cs="Arial"/>
                <w:sz w:val="24"/>
                <w:szCs w:val="24"/>
                <w:lang w:eastAsia="en-GB"/>
              </w:rPr>
            </w:pPr>
            <w:proofErr w:type="spellStart"/>
            <w:r w:rsidRPr="003C35AF">
              <w:rPr>
                <w:rFonts w:ascii="Arial" w:hAnsi="Arial" w:eastAsia="Times New Roman" w:cs="Arial"/>
                <w:sz w:val="24"/>
                <w:szCs w:val="24"/>
                <w:lang w:eastAsia="en-GB"/>
              </w:rPr>
              <w:t>Frettenham</w:t>
            </w:r>
            <w:proofErr w:type="spellEnd"/>
          </w:p>
        </w:tc>
        <w:tc>
          <w:tcPr>
            <w:tcW w:w="3432" w:type="dxa"/>
            <w:noWrap/>
            <w:hideMark/>
          </w:tcPr>
          <w:p w:rsidRPr="003C35AF" w:rsidR="002D737B" w:rsidP="002D737B" w:rsidRDefault="002D737B" w14:paraId="782852D8" w14:textId="77777777">
            <w:pPr>
              <w:rPr>
                <w:rFonts w:ascii="Arial" w:hAnsi="Arial" w:eastAsia="Times New Roman" w:cs="Arial"/>
                <w:sz w:val="24"/>
                <w:szCs w:val="24"/>
                <w:lang w:eastAsia="en-GB"/>
              </w:rPr>
            </w:pPr>
            <w:r w:rsidRPr="003C35AF">
              <w:rPr>
                <w:rFonts w:ascii="Arial" w:hAnsi="Arial" w:eastAsia="Times New Roman" w:cs="Arial"/>
                <w:sz w:val="24"/>
                <w:szCs w:val="24"/>
                <w:lang w:eastAsia="en-GB"/>
              </w:rPr>
              <w:t>£1,194.18</w:t>
            </w:r>
          </w:p>
        </w:tc>
      </w:tr>
      <w:tr w:rsidRPr="002D737B" w:rsidR="002D737B" w:rsidTr="00C35504" w14:paraId="7415DAA8" w14:textId="77777777">
        <w:trPr>
          <w:trHeight w:val="300"/>
        </w:trPr>
        <w:tc>
          <w:tcPr>
            <w:tcW w:w="2800" w:type="dxa"/>
            <w:noWrap/>
            <w:hideMark/>
          </w:tcPr>
          <w:p w:rsidRPr="003C35AF" w:rsidR="002D737B" w:rsidP="002D737B" w:rsidRDefault="002D737B" w14:paraId="7DC5C2E3" w14:textId="77777777">
            <w:pPr>
              <w:rPr>
                <w:rFonts w:ascii="Arial" w:hAnsi="Arial" w:eastAsia="Times New Roman" w:cs="Arial"/>
                <w:sz w:val="24"/>
                <w:szCs w:val="24"/>
                <w:lang w:eastAsia="en-GB"/>
              </w:rPr>
            </w:pPr>
            <w:r w:rsidRPr="003C35AF">
              <w:rPr>
                <w:rFonts w:ascii="Arial" w:hAnsi="Arial" w:eastAsia="Times New Roman" w:cs="Arial"/>
                <w:sz w:val="24"/>
                <w:szCs w:val="24"/>
                <w:lang w:eastAsia="en-GB"/>
              </w:rPr>
              <w:t>Great Plumstead</w:t>
            </w:r>
          </w:p>
        </w:tc>
        <w:tc>
          <w:tcPr>
            <w:tcW w:w="3432" w:type="dxa"/>
            <w:noWrap/>
            <w:hideMark/>
          </w:tcPr>
          <w:p w:rsidRPr="003C35AF" w:rsidR="002D737B" w:rsidP="002D737B" w:rsidRDefault="002D737B" w14:paraId="26D27D18" w14:textId="77777777">
            <w:pPr>
              <w:rPr>
                <w:rFonts w:ascii="Arial" w:hAnsi="Arial" w:eastAsia="Times New Roman" w:cs="Arial"/>
                <w:sz w:val="24"/>
                <w:szCs w:val="24"/>
                <w:lang w:eastAsia="en-GB"/>
              </w:rPr>
            </w:pPr>
            <w:r w:rsidRPr="003C35AF">
              <w:rPr>
                <w:rFonts w:ascii="Arial" w:hAnsi="Arial" w:eastAsia="Times New Roman" w:cs="Arial"/>
                <w:sz w:val="24"/>
                <w:szCs w:val="24"/>
                <w:lang w:eastAsia="en-GB"/>
              </w:rPr>
              <w:t>£11,303.21</w:t>
            </w:r>
          </w:p>
        </w:tc>
      </w:tr>
      <w:tr w:rsidRPr="002D737B" w:rsidR="002D737B" w:rsidTr="00C35504" w14:paraId="31713AB4" w14:textId="77777777">
        <w:trPr>
          <w:trHeight w:val="300"/>
        </w:trPr>
        <w:tc>
          <w:tcPr>
            <w:tcW w:w="2800" w:type="dxa"/>
            <w:hideMark/>
          </w:tcPr>
          <w:p w:rsidRPr="003C35AF" w:rsidR="002D737B" w:rsidP="002D737B" w:rsidRDefault="002D737B" w14:paraId="0572502D" w14:textId="77777777">
            <w:pPr>
              <w:rPr>
                <w:rFonts w:ascii="Arial" w:hAnsi="Arial" w:eastAsia="Times New Roman" w:cs="Arial"/>
                <w:sz w:val="24"/>
                <w:szCs w:val="24"/>
                <w:lang w:eastAsia="en-GB"/>
              </w:rPr>
            </w:pPr>
            <w:r w:rsidRPr="003C35AF">
              <w:rPr>
                <w:rFonts w:ascii="Arial" w:hAnsi="Arial" w:eastAsia="Times New Roman" w:cs="Arial"/>
                <w:sz w:val="24"/>
                <w:szCs w:val="24"/>
                <w:lang w:eastAsia="en-GB"/>
              </w:rPr>
              <w:t xml:space="preserve">Gt </w:t>
            </w:r>
            <w:proofErr w:type="spellStart"/>
            <w:r w:rsidRPr="003C35AF">
              <w:rPr>
                <w:rFonts w:ascii="Arial" w:hAnsi="Arial" w:eastAsia="Times New Roman" w:cs="Arial"/>
                <w:sz w:val="24"/>
                <w:szCs w:val="24"/>
                <w:lang w:eastAsia="en-GB"/>
              </w:rPr>
              <w:t>Witchingham</w:t>
            </w:r>
            <w:proofErr w:type="spellEnd"/>
          </w:p>
        </w:tc>
        <w:tc>
          <w:tcPr>
            <w:tcW w:w="3432" w:type="dxa"/>
            <w:noWrap/>
            <w:hideMark/>
          </w:tcPr>
          <w:p w:rsidRPr="003C35AF" w:rsidR="002D737B" w:rsidP="002D737B" w:rsidRDefault="002D737B" w14:paraId="0D7A8C9E" w14:textId="77777777">
            <w:pPr>
              <w:rPr>
                <w:rFonts w:ascii="Arial" w:hAnsi="Arial" w:eastAsia="Times New Roman" w:cs="Arial"/>
                <w:sz w:val="24"/>
                <w:szCs w:val="24"/>
                <w:lang w:eastAsia="en-GB"/>
              </w:rPr>
            </w:pPr>
            <w:r w:rsidRPr="003C35AF">
              <w:rPr>
                <w:rFonts w:ascii="Arial" w:hAnsi="Arial" w:eastAsia="Times New Roman" w:cs="Arial"/>
                <w:sz w:val="24"/>
                <w:szCs w:val="24"/>
                <w:lang w:eastAsia="en-GB"/>
              </w:rPr>
              <w:t>£1,148.54</w:t>
            </w:r>
          </w:p>
        </w:tc>
      </w:tr>
      <w:tr w:rsidRPr="002D737B" w:rsidR="002D737B" w:rsidTr="00C35504" w14:paraId="11ED5619" w14:textId="77777777">
        <w:trPr>
          <w:trHeight w:val="300"/>
        </w:trPr>
        <w:tc>
          <w:tcPr>
            <w:tcW w:w="2800" w:type="dxa"/>
            <w:hideMark/>
          </w:tcPr>
          <w:p w:rsidRPr="003C35AF" w:rsidR="002D737B" w:rsidP="002D737B" w:rsidRDefault="002D737B" w14:paraId="5FE5D2CC" w14:textId="77777777">
            <w:pPr>
              <w:rPr>
                <w:rFonts w:ascii="Arial" w:hAnsi="Arial" w:eastAsia="Times New Roman" w:cs="Arial"/>
                <w:sz w:val="24"/>
                <w:szCs w:val="24"/>
                <w:lang w:eastAsia="en-GB"/>
              </w:rPr>
            </w:pPr>
            <w:proofErr w:type="spellStart"/>
            <w:r w:rsidRPr="003C35AF">
              <w:rPr>
                <w:rFonts w:ascii="Arial" w:hAnsi="Arial" w:eastAsia="Times New Roman" w:cs="Arial"/>
                <w:sz w:val="24"/>
                <w:szCs w:val="24"/>
                <w:lang w:eastAsia="en-GB"/>
              </w:rPr>
              <w:t>Honingham</w:t>
            </w:r>
            <w:proofErr w:type="spellEnd"/>
          </w:p>
        </w:tc>
        <w:tc>
          <w:tcPr>
            <w:tcW w:w="3432" w:type="dxa"/>
            <w:noWrap/>
            <w:hideMark/>
          </w:tcPr>
          <w:p w:rsidRPr="003C35AF" w:rsidR="002D737B" w:rsidP="002D737B" w:rsidRDefault="002D737B" w14:paraId="0ED4B9EC" w14:textId="77777777">
            <w:pPr>
              <w:rPr>
                <w:rFonts w:ascii="Arial" w:hAnsi="Arial" w:eastAsia="Times New Roman" w:cs="Arial"/>
                <w:sz w:val="24"/>
                <w:szCs w:val="24"/>
                <w:lang w:eastAsia="en-GB"/>
              </w:rPr>
            </w:pPr>
            <w:r w:rsidRPr="003C35AF">
              <w:rPr>
                <w:rFonts w:ascii="Arial" w:hAnsi="Arial" w:eastAsia="Times New Roman" w:cs="Arial"/>
                <w:sz w:val="24"/>
                <w:szCs w:val="24"/>
                <w:lang w:eastAsia="en-GB"/>
              </w:rPr>
              <w:t>£2,698.58</w:t>
            </w:r>
          </w:p>
        </w:tc>
      </w:tr>
      <w:tr w:rsidRPr="002D737B" w:rsidR="002D737B" w:rsidTr="00C35504" w14:paraId="305E35A5" w14:textId="77777777">
        <w:trPr>
          <w:trHeight w:val="300"/>
        </w:trPr>
        <w:tc>
          <w:tcPr>
            <w:tcW w:w="2800" w:type="dxa"/>
            <w:hideMark/>
          </w:tcPr>
          <w:p w:rsidRPr="003C35AF" w:rsidR="002D737B" w:rsidP="002D737B" w:rsidRDefault="002D737B" w14:paraId="590CBBDF" w14:textId="77777777">
            <w:pPr>
              <w:rPr>
                <w:rFonts w:ascii="Arial" w:hAnsi="Arial" w:eastAsia="Times New Roman" w:cs="Arial"/>
                <w:sz w:val="24"/>
                <w:szCs w:val="24"/>
                <w:lang w:eastAsia="en-GB"/>
              </w:rPr>
            </w:pPr>
            <w:r w:rsidRPr="003C35AF">
              <w:rPr>
                <w:rFonts w:ascii="Arial" w:hAnsi="Arial" w:eastAsia="Times New Roman" w:cs="Arial"/>
                <w:sz w:val="24"/>
                <w:szCs w:val="24"/>
                <w:lang w:eastAsia="en-GB"/>
              </w:rPr>
              <w:t>Lingwood &amp; Burlingham</w:t>
            </w:r>
          </w:p>
        </w:tc>
        <w:tc>
          <w:tcPr>
            <w:tcW w:w="3432" w:type="dxa"/>
            <w:noWrap/>
            <w:hideMark/>
          </w:tcPr>
          <w:p w:rsidRPr="003C35AF" w:rsidR="002D737B" w:rsidP="002D737B" w:rsidRDefault="002D737B" w14:paraId="58903C17" w14:textId="77777777">
            <w:pPr>
              <w:rPr>
                <w:rFonts w:ascii="Arial" w:hAnsi="Arial" w:eastAsia="Times New Roman" w:cs="Arial"/>
                <w:sz w:val="24"/>
                <w:szCs w:val="24"/>
                <w:lang w:eastAsia="en-GB"/>
              </w:rPr>
            </w:pPr>
            <w:r w:rsidRPr="003C35AF">
              <w:rPr>
                <w:rFonts w:ascii="Arial" w:hAnsi="Arial" w:eastAsia="Times New Roman" w:cs="Arial"/>
                <w:sz w:val="24"/>
                <w:szCs w:val="24"/>
                <w:lang w:eastAsia="en-GB"/>
              </w:rPr>
              <w:t>£863.30</w:t>
            </w:r>
          </w:p>
        </w:tc>
      </w:tr>
      <w:tr w:rsidRPr="002D737B" w:rsidR="002D737B" w:rsidTr="00C35504" w14:paraId="2447E444" w14:textId="77777777">
        <w:trPr>
          <w:trHeight w:val="300"/>
        </w:trPr>
        <w:tc>
          <w:tcPr>
            <w:tcW w:w="2800" w:type="dxa"/>
            <w:noWrap/>
            <w:hideMark/>
          </w:tcPr>
          <w:p w:rsidRPr="003C35AF" w:rsidR="002D737B" w:rsidP="002D737B" w:rsidRDefault="002D737B" w14:paraId="293CB503" w14:textId="77777777">
            <w:pPr>
              <w:rPr>
                <w:rFonts w:ascii="Arial" w:hAnsi="Arial" w:eastAsia="Times New Roman" w:cs="Arial"/>
                <w:sz w:val="24"/>
                <w:szCs w:val="24"/>
                <w:lang w:eastAsia="en-GB"/>
              </w:rPr>
            </w:pPr>
            <w:proofErr w:type="spellStart"/>
            <w:r w:rsidRPr="003C35AF">
              <w:rPr>
                <w:rFonts w:ascii="Arial" w:hAnsi="Arial" w:eastAsia="Times New Roman" w:cs="Arial"/>
                <w:sz w:val="24"/>
                <w:szCs w:val="24"/>
                <w:lang w:eastAsia="en-GB"/>
              </w:rPr>
              <w:t>Postwick</w:t>
            </w:r>
            <w:proofErr w:type="spellEnd"/>
          </w:p>
        </w:tc>
        <w:tc>
          <w:tcPr>
            <w:tcW w:w="3432" w:type="dxa"/>
            <w:noWrap/>
            <w:hideMark/>
          </w:tcPr>
          <w:p w:rsidRPr="003C35AF" w:rsidR="002D737B" w:rsidP="002D737B" w:rsidRDefault="002D737B" w14:paraId="18F9052A" w14:textId="77777777">
            <w:pPr>
              <w:rPr>
                <w:rFonts w:ascii="Arial" w:hAnsi="Arial" w:eastAsia="Times New Roman" w:cs="Arial"/>
                <w:sz w:val="24"/>
                <w:szCs w:val="24"/>
                <w:lang w:eastAsia="en-GB"/>
              </w:rPr>
            </w:pPr>
            <w:r w:rsidRPr="003C35AF">
              <w:rPr>
                <w:rFonts w:ascii="Arial" w:hAnsi="Arial" w:eastAsia="Times New Roman" w:cs="Arial"/>
                <w:sz w:val="24"/>
                <w:szCs w:val="24"/>
                <w:lang w:eastAsia="en-GB"/>
              </w:rPr>
              <w:t>£125,911.22</w:t>
            </w:r>
          </w:p>
        </w:tc>
      </w:tr>
      <w:tr w:rsidRPr="002D737B" w:rsidR="002D737B" w:rsidTr="00C35504" w14:paraId="358101E8" w14:textId="77777777">
        <w:trPr>
          <w:trHeight w:val="300"/>
        </w:trPr>
        <w:tc>
          <w:tcPr>
            <w:tcW w:w="2800" w:type="dxa"/>
            <w:noWrap/>
            <w:hideMark/>
          </w:tcPr>
          <w:p w:rsidRPr="003C35AF" w:rsidR="002D737B" w:rsidP="002D737B" w:rsidRDefault="002D737B" w14:paraId="750CCD88" w14:textId="77777777">
            <w:pPr>
              <w:rPr>
                <w:rFonts w:ascii="Arial" w:hAnsi="Arial" w:eastAsia="Times New Roman" w:cs="Arial"/>
                <w:sz w:val="24"/>
                <w:szCs w:val="24"/>
                <w:lang w:eastAsia="en-GB"/>
              </w:rPr>
            </w:pPr>
            <w:proofErr w:type="spellStart"/>
            <w:r w:rsidRPr="003C35AF">
              <w:rPr>
                <w:rFonts w:ascii="Arial" w:hAnsi="Arial" w:eastAsia="Times New Roman" w:cs="Arial"/>
                <w:sz w:val="24"/>
                <w:szCs w:val="24"/>
                <w:lang w:eastAsia="en-GB"/>
              </w:rPr>
              <w:t>Salhouse</w:t>
            </w:r>
            <w:proofErr w:type="spellEnd"/>
          </w:p>
        </w:tc>
        <w:tc>
          <w:tcPr>
            <w:tcW w:w="3432" w:type="dxa"/>
            <w:noWrap/>
            <w:hideMark/>
          </w:tcPr>
          <w:p w:rsidRPr="003C35AF" w:rsidR="002D737B" w:rsidP="002D737B" w:rsidRDefault="002D737B" w14:paraId="0735C987" w14:textId="77777777">
            <w:pPr>
              <w:rPr>
                <w:rFonts w:ascii="Arial" w:hAnsi="Arial" w:eastAsia="Times New Roman" w:cs="Arial"/>
                <w:sz w:val="24"/>
                <w:szCs w:val="24"/>
                <w:lang w:eastAsia="en-GB"/>
              </w:rPr>
            </w:pPr>
            <w:r w:rsidRPr="003C35AF">
              <w:rPr>
                <w:rFonts w:ascii="Arial" w:hAnsi="Arial" w:eastAsia="Times New Roman" w:cs="Arial"/>
                <w:sz w:val="24"/>
                <w:szCs w:val="24"/>
                <w:lang w:eastAsia="en-GB"/>
              </w:rPr>
              <w:t>£18,699.35</w:t>
            </w:r>
          </w:p>
        </w:tc>
      </w:tr>
      <w:tr w:rsidRPr="002D737B" w:rsidR="002D737B" w:rsidTr="00C35504" w14:paraId="0BCD0C22" w14:textId="77777777">
        <w:trPr>
          <w:trHeight w:val="300"/>
        </w:trPr>
        <w:tc>
          <w:tcPr>
            <w:tcW w:w="2800" w:type="dxa"/>
            <w:noWrap/>
            <w:hideMark/>
          </w:tcPr>
          <w:p w:rsidRPr="003C35AF" w:rsidR="002D737B" w:rsidP="002D737B" w:rsidRDefault="002D737B" w14:paraId="3132EE29" w14:textId="77777777">
            <w:pPr>
              <w:rPr>
                <w:rFonts w:ascii="Arial" w:hAnsi="Arial" w:eastAsia="Times New Roman" w:cs="Arial"/>
                <w:sz w:val="24"/>
                <w:szCs w:val="24"/>
                <w:lang w:eastAsia="en-GB"/>
              </w:rPr>
            </w:pPr>
            <w:r w:rsidRPr="003C35AF">
              <w:rPr>
                <w:rFonts w:ascii="Arial" w:hAnsi="Arial" w:eastAsia="Times New Roman" w:cs="Arial"/>
                <w:sz w:val="24"/>
                <w:szCs w:val="24"/>
                <w:lang w:eastAsia="en-GB"/>
              </w:rPr>
              <w:t>South Walsham</w:t>
            </w:r>
          </w:p>
        </w:tc>
        <w:tc>
          <w:tcPr>
            <w:tcW w:w="3432" w:type="dxa"/>
            <w:noWrap/>
            <w:hideMark/>
          </w:tcPr>
          <w:p w:rsidRPr="003C35AF" w:rsidR="002D737B" w:rsidP="002D737B" w:rsidRDefault="002D737B" w14:paraId="09E75C50" w14:textId="77777777">
            <w:pPr>
              <w:rPr>
                <w:rFonts w:ascii="Arial" w:hAnsi="Arial" w:eastAsia="Times New Roman" w:cs="Arial"/>
                <w:sz w:val="24"/>
                <w:szCs w:val="24"/>
                <w:lang w:eastAsia="en-GB"/>
              </w:rPr>
            </w:pPr>
            <w:r w:rsidRPr="003C35AF">
              <w:rPr>
                <w:rFonts w:ascii="Arial" w:hAnsi="Arial" w:eastAsia="Times New Roman" w:cs="Arial"/>
                <w:sz w:val="24"/>
                <w:szCs w:val="24"/>
                <w:lang w:eastAsia="en-GB"/>
              </w:rPr>
              <w:t>£3,895.89</w:t>
            </w:r>
          </w:p>
        </w:tc>
      </w:tr>
      <w:tr w:rsidRPr="002D737B" w:rsidR="002D737B" w:rsidTr="00C35504" w14:paraId="7AEFFDE3" w14:textId="77777777">
        <w:trPr>
          <w:trHeight w:val="300"/>
        </w:trPr>
        <w:tc>
          <w:tcPr>
            <w:tcW w:w="2800" w:type="dxa"/>
            <w:hideMark/>
          </w:tcPr>
          <w:p w:rsidRPr="003C35AF" w:rsidR="002D737B" w:rsidP="002D737B" w:rsidRDefault="002D737B" w14:paraId="54572820" w14:textId="77777777">
            <w:pPr>
              <w:rPr>
                <w:rFonts w:ascii="Arial" w:hAnsi="Arial" w:eastAsia="Times New Roman" w:cs="Arial"/>
                <w:sz w:val="24"/>
                <w:szCs w:val="24"/>
                <w:lang w:eastAsia="en-GB"/>
              </w:rPr>
            </w:pPr>
            <w:proofErr w:type="spellStart"/>
            <w:r w:rsidRPr="003C35AF">
              <w:rPr>
                <w:rFonts w:ascii="Arial" w:hAnsi="Arial" w:eastAsia="Times New Roman" w:cs="Arial"/>
                <w:sz w:val="24"/>
                <w:szCs w:val="24"/>
                <w:lang w:eastAsia="en-GB"/>
              </w:rPr>
              <w:t>Spixworth</w:t>
            </w:r>
            <w:proofErr w:type="spellEnd"/>
          </w:p>
        </w:tc>
        <w:tc>
          <w:tcPr>
            <w:tcW w:w="3432" w:type="dxa"/>
            <w:noWrap/>
            <w:hideMark/>
          </w:tcPr>
          <w:p w:rsidRPr="003C35AF" w:rsidR="002D737B" w:rsidP="002D737B" w:rsidRDefault="002D737B" w14:paraId="2EAB412C" w14:textId="77777777">
            <w:pPr>
              <w:rPr>
                <w:rFonts w:ascii="Arial" w:hAnsi="Arial" w:eastAsia="Times New Roman" w:cs="Arial"/>
                <w:sz w:val="24"/>
                <w:szCs w:val="24"/>
                <w:lang w:eastAsia="en-GB"/>
              </w:rPr>
            </w:pPr>
            <w:r w:rsidRPr="003C35AF">
              <w:rPr>
                <w:rFonts w:ascii="Arial" w:hAnsi="Arial" w:eastAsia="Times New Roman" w:cs="Arial"/>
                <w:sz w:val="24"/>
                <w:szCs w:val="24"/>
                <w:lang w:eastAsia="en-GB"/>
              </w:rPr>
              <w:t>£30,934.99</w:t>
            </w:r>
          </w:p>
        </w:tc>
      </w:tr>
      <w:tr w:rsidRPr="002D737B" w:rsidR="002D737B" w:rsidTr="00C35504" w14:paraId="7AFC8FE5" w14:textId="77777777">
        <w:trPr>
          <w:trHeight w:val="300"/>
        </w:trPr>
        <w:tc>
          <w:tcPr>
            <w:tcW w:w="2800" w:type="dxa"/>
            <w:hideMark/>
          </w:tcPr>
          <w:p w:rsidRPr="003C35AF" w:rsidR="002D737B" w:rsidP="002D737B" w:rsidRDefault="002D737B" w14:paraId="63EBE38D" w14:textId="77777777">
            <w:pPr>
              <w:rPr>
                <w:rFonts w:ascii="Arial" w:hAnsi="Arial" w:eastAsia="Times New Roman" w:cs="Arial"/>
                <w:sz w:val="24"/>
                <w:szCs w:val="24"/>
                <w:lang w:eastAsia="en-GB"/>
              </w:rPr>
            </w:pPr>
            <w:r w:rsidRPr="003C35AF">
              <w:rPr>
                <w:rFonts w:ascii="Arial" w:hAnsi="Arial" w:eastAsia="Times New Roman" w:cs="Arial"/>
                <w:sz w:val="24"/>
                <w:szCs w:val="24"/>
                <w:lang w:eastAsia="en-GB"/>
              </w:rPr>
              <w:t>Sprowston</w:t>
            </w:r>
          </w:p>
        </w:tc>
        <w:tc>
          <w:tcPr>
            <w:tcW w:w="3432" w:type="dxa"/>
            <w:noWrap/>
            <w:hideMark/>
          </w:tcPr>
          <w:p w:rsidRPr="003C35AF" w:rsidR="002D737B" w:rsidP="002D737B" w:rsidRDefault="002D737B" w14:paraId="6B857C40" w14:textId="77777777">
            <w:pPr>
              <w:rPr>
                <w:rFonts w:ascii="Arial" w:hAnsi="Arial" w:eastAsia="Times New Roman" w:cs="Arial"/>
                <w:sz w:val="24"/>
                <w:szCs w:val="24"/>
                <w:lang w:eastAsia="en-GB"/>
              </w:rPr>
            </w:pPr>
            <w:r w:rsidRPr="003C35AF">
              <w:rPr>
                <w:rFonts w:ascii="Arial" w:hAnsi="Arial" w:eastAsia="Times New Roman" w:cs="Arial"/>
                <w:sz w:val="24"/>
                <w:szCs w:val="24"/>
                <w:lang w:eastAsia="en-GB"/>
              </w:rPr>
              <w:t>£1,832.45</w:t>
            </w:r>
          </w:p>
        </w:tc>
      </w:tr>
      <w:tr w:rsidRPr="002D737B" w:rsidR="002D737B" w:rsidTr="00C35504" w14:paraId="452CFB99" w14:textId="77777777">
        <w:trPr>
          <w:trHeight w:val="300"/>
        </w:trPr>
        <w:tc>
          <w:tcPr>
            <w:tcW w:w="2800" w:type="dxa"/>
            <w:noWrap/>
            <w:hideMark/>
          </w:tcPr>
          <w:p w:rsidRPr="003C35AF" w:rsidR="002D737B" w:rsidP="002D737B" w:rsidRDefault="002D737B" w14:paraId="46292CB7" w14:textId="77777777">
            <w:pPr>
              <w:rPr>
                <w:rFonts w:ascii="Arial" w:hAnsi="Arial" w:eastAsia="Times New Roman" w:cs="Arial"/>
                <w:sz w:val="24"/>
                <w:szCs w:val="24"/>
                <w:lang w:eastAsia="en-GB"/>
              </w:rPr>
            </w:pPr>
            <w:r w:rsidRPr="003C35AF">
              <w:rPr>
                <w:rFonts w:ascii="Arial" w:hAnsi="Arial" w:eastAsia="Times New Roman" w:cs="Arial"/>
                <w:sz w:val="24"/>
                <w:szCs w:val="24"/>
                <w:lang w:eastAsia="en-GB"/>
              </w:rPr>
              <w:t>Taverham</w:t>
            </w:r>
          </w:p>
        </w:tc>
        <w:tc>
          <w:tcPr>
            <w:tcW w:w="3432" w:type="dxa"/>
            <w:noWrap/>
            <w:hideMark/>
          </w:tcPr>
          <w:p w:rsidRPr="003C35AF" w:rsidR="002D737B" w:rsidP="002D737B" w:rsidRDefault="002D737B" w14:paraId="34A5514E" w14:textId="77777777">
            <w:pPr>
              <w:rPr>
                <w:rFonts w:ascii="Arial" w:hAnsi="Arial" w:eastAsia="Times New Roman" w:cs="Arial"/>
                <w:sz w:val="24"/>
                <w:szCs w:val="24"/>
                <w:lang w:eastAsia="en-GB"/>
              </w:rPr>
            </w:pPr>
            <w:r w:rsidRPr="003C35AF">
              <w:rPr>
                <w:rFonts w:ascii="Arial" w:hAnsi="Arial" w:eastAsia="Times New Roman" w:cs="Arial"/>
                <w:sz w:val="24"/>
                <w:szCs w:val="24"/>
                <w:lang w:eastAsia="en-GB"/>
              </w:rPr>
              <w:t>£17,065.88</w:t>
            </w:r>
          </w:p>
        </w:tc>
      </w:tr>
      <w:tr w:rsidRPr="002D737B" w:rsidR="002D737B" w:rsidTr="00C35504" w14:paraId="69D6B371" w14:textId="77777777">
        <w:trPr>
          <w:trHeight w:val="300"/>
        </w:trPr>
        <w:tc>
          <w:tcPr>
            <w:tcW w:w="2800" w:type="dxa"/>
            <w:hideMark/>
          </w:tcPr>
          <w:p w:rsidRPr="003C35AF" w:rsidR="002D737B" w:rsidP="002D737B" w:rsidRDefault="002D737B" w14:paraId="69BCE363" w14:textId="77777777">
            <w:pPr>
              <w:rPr>
                <w:rFonts w:ascii="Arial" w:hAnsi="Arial" w:eastAsia="Times New Roman" w:cs="Arial"/>
                <w:sz w:val="24"/>
                <w:szCs w:val="24"/>
                <w:lang w:eastAsia="en-GB"/>
              </w:rPr>
            </w:pPr>
            <w:r w:rsidRPr="003C35AF">
              <w:rPr>
                <w:rFonts w:ascii="Arial" w:hAnsi="Arial" w:eastAsia="Times New Roman" w:cs="Arial"/>
                <w:sz w:val="24"/>
                <w:szCs w:val="24"/>
                <w:lang w:eastAsia="en-GB"/>
              </w:rPr>
              <w:t>Weston Longville</w:t>
            </w:r>
          </w:p>
        </w:tc>
        <w:tc>
          <w:tcPr>
            <w:tcW w:w="3432" w:type="dxa"/>
            <w:noWrap/>
            <w:hideMark/>
          </w:tcPr>
          <w:p w:rsidRPr="003C35AF" w:rsidR="002D737B" w:rsidP="002D737B" w:rsidRDefault="002D737B" w14:paraId="0E6C3FC2" w14:textId="77777777">
            <w:pPr>
              <w:rPr>
                <w:rFonts w:ascii="Arial" w:hAnsi="Arial" w:eastAsia="Times New Roman" w:cs="Arial"/>
                <w:sz w:val="24"/>
                <w:szCs w:val="24"/>
                <w:lang w:eastAsia="en-GB"/>
              </w:rPr>
            </w:pPr>
            <w:r w:rsidRPr="003C35AF">
              <w:rPr>
                <w:rFonts w:ascii="Arial" w:hAnsi="Arial" w:eastAsia="Times New Roman" w:cs="Arial"/>
                <w:sz w:val="24"/>
                <w:szCs w:val="24"/>
                <w:lang w:eastAsia="en-GB"/>
              </w:rPr>
              <w:t>£2,550.00</w:t>
            </w:r>
          </w:p>
        </w:tc>
      </w:tr>
    </w:tbl>
    <w:p w:rsidR="00164C21" w:rsidP="00C027B6" w:rsidRDefault="00164C21" w14:paraId="6A81D62D" w14:textId="77777777">
      <w:pPr>
        <w:spacing w:after="0" w:line="240" w:lineRule="auto"/>
        <w:rPr>
          <w:rFonts w:ascii="Arial" w:hAnsi="Arial" w:eastAsia="Times New Roman" w:cs="Arial"/>
          <w:sz w:val="20"/>
          <w:szCs w:val="20"/>
          <w:lang w:eastAsia="en-GB"/>
        </w:rPr>
      </w:pPr>
    </w:p>
    <w:sectPr w:rsidR="00164C21" w:rsidSect="00063A1E">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Stuart Pontin" w:date="2025-11-27T13:01:00Z" w:initials="SP">
    <w:p w14:paraId="78F7B0CF" w14:textId="77777777" w:rsidR="00ED1A8D" w:rsidRDefault="00ED1A8D" w:rsidP="00ED1A8D">
      <w:pPr>
        <w:pStyle w:val="CommentText"/>
      </w:pPr>
      <w:r>
        <w:rPr>
          <w:rStyle w:val="CommentReference"/>
        </w:rPr>
        <w:annotationRef/>
      </w:r>
      <w:r>
        <w:t xml:space="preserve">Corvu report is £2,898,160.06 (£5906.12 different) </w:t>
      </w:r>
    </w:p>
  </w:comment>
  <w:comment w:id="2" w:author="Moira White" w:date="2025-11-27T14:38:00Z" w:initials="MW">
    <w:p w14:paraId="799E7C05" w14:textId="77777777" w:rsidR="00602B8C" w:rsidRDefault="00602B8C" w:rsidP="00602B8C">
      <w:pPr>
        <w:pStyle w:val="CommentText"/>
      </w:pPr>
      <w:r>
        <w:rPr>
          <w:rStyle w:val="CommentReference"/>
        </w:rPr>
        <w:annotationRef/>
      </w:r>
      <w:r>
        <w:t>I ran the corvu report some time ago and clearly we have made changes to Uniform since so yes it should be £2,898,160.06</w:t>
      </w:r>
    </w:p>
  </w:comment>
  <w:comment w:id="3" w:author="Moira White" w:date="2025-12-08T14:46:00Z" w:initials="MW">
    <w:p w14:paraId="2D49E105" w14:textId="77777777" w:rsidR="008E6A9B" w:rsidRDefault="008E6A9B" w:rsidP="008E6A9B">
      <w:pPr>
        <w:pStyle w:val="CommentText"/>
      </w:pPr>
      <w:r>
        <w:rPr>
          <w:rStyle w:val="CommentReference"/>
        </w:rPr>
        <w:annotationRef/>
      </w:r>
      <w:r>
        <w:t>The £1,811,773.19 is same as figures Quintin has.</w:t>
      </w:r>
    </w:p>
  </w:comment>
  <w:comment w:id="5" w:author="Stuart Pontin" w:date="2025-11-27T13:07:00Z" w:initials="SP">
    <w:p w14:paraId="72784ED1" w14:textId="20A209AF" w:rsidR="00ED1A8D" w:rsidRDefault="00ED1A8D" w:rsidP="00ED1A8D">
      <w:pPr>
        <w:pStyle w:val="CommentText"/>
      </w:pPr>
      <w:r>
        <w:rPr>
          <w:rStyle w:val="CommentReference"/>
        </w:rPr>
        <w:annotationRef/>
      </w:r>
      <w:r>
        <w:t>5% (£86,270.85) + PC (£315,019.82) = GNGB (£1,410,742.53) = £1,811,763.2. 1e is £1,811,773.19 (£9.99 different)</w:t>
      </w:r>
    </w:p>
  </w:comment>
  <w:comment w:id="6" w:author="Moira White" w:date="2025-12-08T14:57:00Z" w:initials="MW">
    <w:p w14:paraId="3951CA8D" w14:textId="77777777" w:rsidR="007368F1" w:rsidRDefault="007368F1" w:rsidP="007368F1">
      <w:pPr>
        <w:pStyle w:val="CommentText"/>
      </w:pPr>
      <w:r>
        <w:rPr>
          <w:rStyle w:val="CommentReference"/>
        </w:rPr>
        <w:annotationRef/>
      </w:r>
      <w:r>
        <w:t>The figure for the GNGB and Parish was incorrect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F7B0CF" w15:done="0"/>
  <w15:commentEx w15:paraId="799E7C05" w15:paraIdParent="78F7B0CF" w15:done="0"/>
  <w15:commentEx w15:paraId="2D49E105" w15:done="0"/>
  <w15:commentEx w15:paraId="72784ED1" w15:done="0"/>
  <w15:commentEx w15:paraId="3951CA8D" w15:paraIdParent="72784ED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A8CAB48" w16cex:dateUtc="2025-11-27T13:01:00Z"/>
  <w16cex:commentExtensible w16cex:durableId="264C2AB2" w16cex:dateUtc="2025-11-27T14:38:00Z"/>
  <w16cex:commentExtensible w16cex:durableId="0F6418F1" w16cex:dateUtc="2025-12-08T14:46:00Z"/>
  <w16cex:commentExtensible w16cex:durableId="69689962" w16cex:dateUtc="2025-11-27T13:07:00Z"/>
  <w16cex:commentExtensible w16cex:durableId="193C77A2" w16cex:dateUtc="2025-12-08T14: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F7B0CF" w16cid:durableId="7A8CAB48"/>
  <w16cid:commentId w16cid:paraId="799E7C05" w16cid:durableId="264C2AB2"/>
  <w16cid:commentId w16cid:paraId="2D49E105" w16cid:durableId="0F6418F1"/>
  <w16cid:commentId w16cid:paraId="72784ED1" w16cid:durableId="69689962"/>
  <w16cid:commentId w16cid:paraId="3951CA8D" w16cid:durableId="193C77A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6430D"/>
    <w:multiLevelType w:val="hybridMultilevel"/>
    <w:tmpl w:val="77CEADE4"/>
    <w:lvl w:ilvl="0" w:tplc="158C0EC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DB6A49"/>
    <w:multiLevelType w:val="hybridMultilevel"/>
    <w:tmpl w:val="D1EE5862"/>
    <w:lvl w:ilvl="0" w:tplc="53BE21E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6946A6"/>
    <w:multiLevelType w:val="hybridMultilevel"/>
    <w:tmpl w:val="50961B2C"/>
    <w:lvl w:ilvl="0" w:tplc="042AFA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BD691B"/>
    <w:multiLevelType w:val="hybridMultilevel"/>
    <w:tmpl w:val="8BDE2DCA"/>
    <w:lvl w:ilvl="0" w:tplc="B4D6252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F070D05"/>
    <w:multiLevelType w:val="hybridMultilevel"/>
    <w:tmpl w:val="E662FDE8"/>
    <w:lvl w:ilvl="0" w:tplc="DE9E03E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9761598">
    <w:abstractNumId w:val="3"/>
  </w:num>
  <w:num w:numId="2" w16cid:durableId="1743794405">
    <w:abstractNumId w:val="0"/>
  </w:num>
  <w:num w:numId="3" w16cid:durableId="538514594">
    <w:abstractNumId w:val="2"/>
  </w:num>
  <w:num w:numId="4" w16cid:durableId="1761833555">
    <w:abstractNumId w:val="4"/>
  </w:num>
  <w:num w:numId="5" w16cid:durableId="164222388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uart Pontin">
    <w15:presenceInfo w15:providerId="AD" w15:userId="S::Stuart.Pontin@southnorfolkandbroadland.gov.uk::912edb02-fbdf-48a9-89ba-88fc6c297213"/>
  </w15:person>
  <w15:person w15:author="Moira White">
    <w15:presenceInfo w15:providerId="AD" w15:userId="S::moira.white@southnorfolkandbroadland.gov.uk::a700afde-00e0-4d40-8fd1-6a2294bd0c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7B6"/>
    <w:rsid w:val="00012AE1"/>
    <w:rsid w:val="000243CE"/>
    <w:rsid w:val="000330D9"/>
    <w:rsid w:val="000378E3"/>
    <w:rsid w:val="00053DBB"/>
    <w:rsid w:val="00063A1E"/>
    <w:rsid w:val="00067FB3"/>
    <w:rsid w:val="00087781"/>
    <w:rsid w:val="000939B2"/>
    <w:rsid w:val="000A254B"/>
    <w:rsid w:val="000B1362"/>
    <w:rsid w:val="000C41F6"/>
    <w:rsid w:val="000C7E53"/>
    <w:rsid w:val="000F33CC"/>
    <w:rsid w:val="001074CC"/>
    <w:rsid w:val="0011739E"/>
    <w:rsid w:val="001231EA"/>
    <w:rsid w:val="00164C21"/>
    <w:rsid w:val="001712A5"/>
    <w:rsid w:val="001740DB"/>
    <w:rsid w:val="00181D1A"/>
    <w:rsid w:val="00184038"/>
    <w:rsid w:val="001B0119"/>
    <w:rsid w:val="001B3BA4"/>
    <w:rsid w:val="001B5764"/>
    <w:rsid w:val="001B5F7C"/>
    <w:rsid w:val="001B7AFB"/>
    <w:rsid w:val="001C1F43"/>
    <w:rsid w:val="001D23EE"/>
    <w:rsid w:val="001D4DE2"/>
    <w:rsid w:val="001E098C"/>
    <w:rsid w:val="001E64CF"/>
    <w:rsid w:val="001F1E70"/>
    <w:rsid w:val="001F3772"/>
    <w:rsid w:val="001F3E4C"/>
    <w:rsid w:val="001F5A33"/>
    <w:rsid w:val="00205D99"/>
    <w:rsid w:val="00225824"/>
    <w:rsid w:val="002321BE"/>
    <w:rsid w:val="00236244"/>
    <w:rsid w:val="00240BA7"/>
    <w:rsid w:val="002426DF"/>
    <w:rsid w:val="00243037"/>
    <w:rsid w:val="00245AB6"/>
    <w:rsid w:val="00272557"/>
    <w:rsid w:val="0027526C"/>
    <w:rsid w:val="00276326"/>
    <w:rsid w:val="00297635"/>
    <w:rsid w:val="002A7DF4"/>
    <w:rsid w:val="002B1EA5"/>
    <w:rsid w:val="002D2A10"/>
    <w:rsid w:val="002D710A"/>
    <w:rsid w:val="002D737B"/>
    <w:rsid w:val="00321278"/>
    <w:rsid w:val="003215F3"/>
    <w:rsid w:val="00342047"/>
    <w:rsid w:val="00346894"/>
    <w:rsid w:val="00354AD0"/>
    <w:rsid w:val="00357AD4"/>
    <w:rsid w:val="00370CF8"/>
    <w:rsid w:val="00387851"/>
    <w:rsid w:val="00390582"/>
    <w:rsid w:val="003A34FA"/>
    <w:rsid w:val="003C33C5"/>
    <w:rsid w:val="003C35AF"/>
    <w:rsid w:val="003C4370"/>
    <w:rsid w:val="003D60F0"/>
    <w:rsid w:val="003D63CE"/>
    <w:rsid w:val="003E0AFB"/>
    <w:rsid w:val="003E1F38"/>
    <w:rsid w:val="003E4834"/>
    <w:rsid w:val="003E66A5"/>
    <w:rsid w:val="003E6D81"/>
    <w:rsid w:val="003F3B27"/>
    <w:rsid w:val="00422902"/>
    <w:rsid w:val="0043474F"/>
    <w:rsid w:val="004916A9"/>
    <w:rsid w:val="004B58D9"/>
    <w:rsid w:val="004D1DD2"/>
    <w:rsid w:val="00514A6A"/>
    <w:rsid w:val="005206F8"/>
    <w:rsid w:val="005524BE"/>
    <w:rsid w:val="00575508"/>
    <w:rsid w:val="00577558"/>
    <w:rsid w:val="00590D76"/>
    <w:rsid w:val="005A6198"/>
    <w:rsid w:val="005C1DF5"/>
    <w:rsid w:val="005C2ED3"/>
    <w:rsid w:val="005E7870"/>
    <w:rsid w:val="00602B8C"/>
    <w:rsid w:val="00636CE4"/>
    <w:rsid w:val="00651401"/>
    <w:rsid w:val="0065418B"/>
    <w:rsid w:val="00665BA2"/>
    <w:rsid w:val="006843E6"/>
    <w:rsid w:val="00690723"/>
    <w:rsid w:val="006C0302"/>
    <w:rsid w:val="006C49B3"/>
    <w:rsid w:val="006C6389"/>
    <w:rsid w:val="006D5D9E"/>
    <w:rsid w:val="006E5CC3"/>
    <w:rsid w:val="006E628B"/>
    <w:rsid w:val="006F6F61"/>
    <w:rsid w:val="00704583"/>
    <w:rsid w:val="007271B3"/>
    <w:rsid w:val="007368F1"/>
    <w:rsid w:val="00745261"/>
    <w:rsid w:val="00763466"/>
    <w:rsid w:val="00766E68"/>
    <w:rsid w:val="007902E2"/>
    <w:rsid w:val="0079418F"/>
    <w:rsid w:val="007C46C1"/>
    <w:rsid w:val="007D3ED5"/>
    <w:rsid w:val="007E4B7F"/>
    <w:rsid w:val="00811AA0"/>
    <w:rsid w:val="00827E2E"/>
    <w:rsid w:val="00832675"/>
    <w:rsid w:val="008366A3"/>
    <w:rsid w:val="00841900"/>
    <w:rsid w:val="008550E6"/>
    <w:rsid w:val="00860882"/>
    <w:rsid w:val="008A1DE8"/>
    <w:rsid w:val="008B6B9D"/>
    <w:rsid w:val="008C0F44"/>
    <w:rsid w:val="008D6FEE"/>
    <w:rsid w:val="008E6A9B"/>
    <w:rsid w:val="008F1480"/>
    <w:rsid w:val="008F5F94"/>
    <w:rsid w:val="00903B1B"/>
    <w:rsid w:val="00904672"/>
    <w:rsid w:val="0092663E"/>
    <w:rsid w:val="00937F30"/>
    <w:rsid w:val="00951C9E"/>
    <w:rsid w:val="009620AC"/>
    <w:rsid w:val="009643EB"/>
    <w:rsid w:val="009746F2"/>
    <w:rsid w:val="009822AB"/>
    <w:rsid w:val="00990B25"/>
    <w:rsid w:val="009916D0"/>
    <w:rsid w:val="00992279"/>
    <w:rsid w:val="009B4EE7"/>
    <w:rsid w:val="009C5430"/>
    <w:rsid w:val="009F1771"/>
    <w:rsid w:val="00A06885"/>
    <w:rsid w:val="00A23A65"/>
    <w:rsid w:val="00A53506"/>
    <w:rsid w:val="00A554B3"/>
    <w:rsid w:val="00AC63A8"/>
    <w:rsid w:val="00AC729B"/>
    <w:rsid w:val="00AE36F4"/>
    <w:rsid w:val="00AF09EF"/>
    <w:rsid w:val="00AF11AB"/>
    <w:rsid w:val="00AF7E39"/>
    <w:rsid w:val="00B03F3A"/>
    <w:rsid w:val="00B13CE9"/>
    <w:rsid w:val="00B13DAB"/>
    <w:rsid w:val="00B43D3E"/>
    <w:rsid w:val="00B7470B"/>
    <w:rsid w:val="00B74A4C"/>
    <w:rsid w:val="00B82FEC"/>
    <w:rsid w:val="00BA3DA3"/>
    <w:rsid w:val="00BC0764"/>
    <w:rsid w:val="00BD0426"/>
    <w:rsid w:val="00BE4D4E"/>
    <w:rsid w:val="00BF107E"/>
    <w:rsid w:val="00BF40FD"/>
    <w:rsid w:val="00C0017B"/>
    <w:rsid w:val="00C027B6"/>
    <w:rsid w:val="00C35504"/>
    <w:rsid w:val="00C36A42"/>
    <w:rsid w:val="00C373C1"/>
    <w:rsid w:val="00C74603"/>
    <w:rsid w:val="00C82956"/>
    <w:rsid w:val="00C9308E"/>
    <w:rsid w:val="00CA6F8B"/>
    <w:rsid w:val="00CB7FF2"/>
    <w:rsid w:val="00CC2F8D"/>
    <w:rsid w:val="00CD6622"/>
    <w:rsid w:val="00CE0296"/>
    <w:rsid w:val="00CE4EA8"/>
    <w:rsid w:val="00CF5971"/>
    <w:rsid w:val="00D03F55"/>
    <w:rsid w:val="00D12F9A"/>
    <w:rsid w:val="00D27E97"/>
    <w:rsid w:val="00D3116C"/>
    <w:rsid w:val="00D40B37"/>
    <w:rsid w:val="00D5767D"/>
    <w:rsid w:val="00D96388"/>
    <w:rsid w:val="00D96446"/>
    <w:rsid w:val="00DB2871"/>
    <w:rsid w:val="00DB5C7C"/>
    <w:rsid w:val="00DC1C7F"/>
    <w:rsid w:val="00DD7AF0"/>
    <w:rsid w:val="00DE6987"/>
    <w:rsid w:val="00DF7158"/>
    <w:rsid w:val="00E04D1D"/>
    <w:rsid w:val="00E06159"/>
    <w:rsid w:val="00E12CFD"/>
    <w:rsid w:val="00E5799F"/>
    <w:rsid w:val="00E809F3"/>
    <w:rsid w:val="00E84D1C"/>
    <w:rsid w:val="00E87001"/>
    <w:rsid w:val="00E9644A"/>
    <w:rsid w:val="00EA267D"/>
    <w:rsid w:val="00ED1A8D"/>
    <w:rsid w:val="00ED22AA"/>
    <w:rsid w:val="00ED6636"/>
    <w:rsid w:val="00EF1421"/>
    <w:rsid w:val="00F11FED"/>
    <w:rsid w:val="00F13D42"/>
    <w:rsid w:val="00F151F4"/>
    <w:rsid w:val="00F17ED2"/>
    <w:rsid w:val="00F7310B"/>
    <w:rsid w:val="00F75547"/>
    <w:rsid w:val="00F8423E"/>
    <w:rsid w:val="00FB3BF4"/>
    <w:rsid w:val="00FB49D2"/>
    <w:rsid w:val="00FB4B90"/>
    <w:rsid w:val="00FC12BF"/>
    <w:rsid w:val="00FE49BC"/>
    <w:rsid w:val="00FE5F25"/>
    <w:rsid w:val="00FF30F8"/>
    <w:rsid w:val="00FF48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F96E8"/>
  <w15:docId w15:val="{6936DE96-1FC0-4029-86C6-B689BD347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4">
    <w:name w:val="Table Grid4"/>
    <w:basedOn w:val="TableNormal"/>
    <w:uiPriority w:val="59"/>
    <w:rsid w:val="00C027B6"/>
    <w:pPr>
      <w:spacing w:after="0" w:line="240" w:lineRule="auto"/>
    </w:pPr>
    <w:rPr>
      <w:rFonts w:ascii="Arial" w:eastAsia="Calibri" w:hAnsi="Arial"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C027B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027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7B6"/>
    <w:rPr>
      <w:rFonts w:ascii="Tahoma" w:hAnsi="Tahoma" w:cs="Tahoma"/>
      <w:sz w:val="16"/>
      <w:szCs w:val="16"/>
    </w:rPr>
  </w:style>
  <w:style w:type="table" w:styleId="TableGrid">
    <w:name w:val="Table Grid"/>
    <w:basedOn w:val="TableNormal"/>
    <w:uiPriority w:val="59"/>
    <w:unhideWhenUsed/>
    <w:rsid w:val="00B13C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2557"/>
    <w:pPr>
      <w:ind w:left="720"/>
      <w:contextualSpacing/>
    </w:pPr>
  </w:style>
  <w:style w:type="paragraph" w:customStyle="1" w:styleId="Default">
    <w:name w:val="Default"/>
    <w:rsid w:val="00C36A4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C36A42"/>
    <w:rPr>
      <w:color w:val="0000FF" w:themeColor="hyperlink"/>
      <w:u w:val="single"/>
    </w:rPr>
  </w:style>
  <w:style w:type="character" w:styleId="UnresolvedMention">
    <w:name w:val="Unresolved Mention"/>
    <w:basedOn w:val="DefaultParagraphFont"/>
    <w:uiPriority w:val="99"/>
    <w:semiHidden/>
    <w:unhideWhenUsed/>
    <w:rsid w:val="00C36A42"/>
    <w:rPr>
      <w:color w:val="605E5C"/>
      <w:shd w:val="clear" w:color="auto" w:fill="E1DFDD"/>
    </w:rPr>
  </w:style>
  <w:style w:type="character" w:styleId="FollowedHyperlink">
    <w:name w:val="FollowedHyperlink"/>
    <w:basedOn w:val="DefaultParagraphFont"/>
    <w:uiPriority w:val="99"/>
    <w:semiHidden/>
    <w:unhideWhenUsed/>
    <w:rsid w:val="00C36A42"/>
    <w:rPr>
      <w:color w:val="800080" w:themeColor="followedHyperlink"/>
      <w:u w:val="single"/>
    </w:rPr>
  </w:style>
  <w:style w:type="paragraph" w:styleId="BodyText">
    <w:name w:val="Body Text"/>
    <w:basedOn w:val="Normal"/>
    <w:link w:val="BodyTextChar"/>
    <w:uiPriority w:val="1"/>
    <w:semiHidden/>
    <w:unhideWhenUsed/>
    <w:rsid w:val="001F1E70"/>
    <w:pPr>
      <w:autoSpaceDE w:val="0"/>
      <w:autoSpaceDN w:val="0"/>
      <w:spacing w:before="184" w:after="0" w:line="252" w:lineRule="auto"/>
      <w:ind w:right="246"/>
    </w:pPr>
    <w:rPr>
      <w:rFonts w:ascii="Century Gothic" w:hAnsi="Century Gothic" w:cs="Calibri"/>
      <w:sz w:val="24"/>
      <w:szCs w:val="24"/>
    </w:rPr>
  </w:style>
  <w:style w:type="character" w:customStyle="1" w:styleId="BodyTextChar">
    <w:name w:val="Body Text Char"/>
    <w:basedOn w:val="DefaultParagraphFont"/>
    <w:link w:val="BodyText"/>
    <w:uiPriority w:val="1"/>
    <w:semiHidden/>
    <w:rsid w:val="001F1E70"/>
    <w:rPr>
      <w:rFonts w:ascii="Century Gothic" w:hAnsi="Century Gothic" w:cs="Calibri"/>
      <w:sz w:val="24"/>
      <w:szCs w:val="24"/>
    </w:rPr>
  </w:style>
  <w:style w:type="paragraph" w:customStyle="1" w:styleId="msonormal0">
    <w:name w:val="msonormal"/>
    <w:basedOn w:val="Normal"/>
    <w:rsid w:val="00AF09E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6">
    <w:name w:val="xl66"/>
    <w:basedOn w:val="Normal"/>
    <w:rsid w:val="00AF09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7">
    <w:name w:val="xl67"/>
    <w:basedOn w:val="Normal"/>
    <w:rsid w:val="00AF09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8">
    <w:name w:val="xl68"/>
    <w:basedOn w:val="Normal"/>
    <w:rsid w:val="00AF09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9">
    <w:name w:val="xl69"/>
    <w:basedOn w:val="Normal"/>
    <w:rsid w:val="00AF09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577558"/>
    <w:rPr>
      <w:sz w:val="16"/>
      <w:szCs w:val="16"/>
    </w:rPr>
  </w:style>
  <w:style w:type="paragraph" w:styleId="CommentText">
    <w:name w:val="annotation text"/>
    <w:basedOn w:val="Normal"/>
    <w:link w:val="CommentTextChar"/>
    <w:uiPriority w:val="99"/>
    <w:unhideWhenUsed/>
    <w:rsid w:val="00577558"/>
    <w:pPr>
      <w:spacing w:line="240" w:lineRule="auto"/>
    </w:pPr>
    <w:rPr>
      <w:sz w:val="20"/>
      <w:szCs w:val="20"/>
    </w:rPr>
  </w:style>
  <w:style w:type="character" w:customStyle="1" w:styleId="CommentTextChar">
    <w:name w:val="Comment Text Char"/>
    <w:basedOn w:val="DefaultParagraphFont"/>
    <w:link w:val="CommentText"/>
    <w:uiPriority w:val="99"/>
    <w:rsid w:val="00577558"/>
    <w:rPr>
      <w:sz w:val="20"/>
      <w:szCs w:val="20"/>
    </w:rPr>
  </w:style>
  <w:style w:type="paragraph" w:styleId="CommentSubject">
    <w:name w:val="annotation subject"/>
    <w:basedOn w:val="CommentText"/>
    <w:next w:val="CommentText"/>
    <w:link w:val="CommentSubjectChar"/>
    <w:uiPriority w:val="99"/>
    <w:semiHidden/>
    <w:unhideWhenUsed/>
    <w:rsid w:val="00390582"/>
    <w:rPr>
      <w:b/>
      <w:bCs/>
    </w:rPr>
  </w:style>
  <w:style w:type="character" w:customStyle="1" w:styleId="CommentSubjectChar">
    <w:name w:val="Comment Subject Char"/>
    <w:basedOn w:val="CommentTextChar"/>
    <w:link w:val="CommentSubject"/>
    <w:uiPriority w:val="99"/>
    <w:semiHidden/>
    <w:rsid w:val="003905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79317">
      <w:bodyDiv w:val="1"/>
      <w:marLeft w:val="0"/>
      <w:marRight w:val="0"/>
      <w:marTop w:val="0"/>
      <w:marBottom w:val="0"/>
      <w:divBdr>
        <w:top w:val="none" w:sz="0" w:space="0" w:color="auto"/>
        <w:left w:val="none" w:sz="0" w:space="0" w:color="auto"/>
        <w:bottom w:val="none" w:sz="0" w:space="0" w:color="auto"/>
        <w:right w:val="none" w:sz="0" w:space="0" w:color="auto"/>
      </w:divBdr>
    </w:div>
    <w:div w:id="129592360">
      <w:bodyDiv w:val="1"/>
      <w:marLeft w:val="0"/>
      <w:marRight w:val="0"/>
      <w:marTop w:val="0"/>
      <w:marBottom w:val="0"/>
      <w:divBdr>
        <w:top w:val="none" w:sz="0" w:space="0" w:color="auto"/>
        <w:left w:val="none" w:sz="0" w:space="0" w:color="auto"/>
        <w:bottom w:val="none" w:sz="0" w:space="0" w:color="auto"/>
        <w:right w:val="none" w:sz="0" w:space="0" w:color="auto"/>
      </w:divBdr>
    </w:div>
    <w:div w:id="134152573">
      <w:bodyDiv w:val="1"/>
      <w:marLeft w:val="0"/>
      <w:marRight w:val="0"/>
      <w:marTop w:val="0"/>
      <w:marBottom w:val="0"/>
      <w:divBdr>
        <w:top w:val="none" w:sz="0" w:space="0" w:color="auto"/>
        <w:left w:val="none" w:sz="0" w:space="0" w:color="auto"/>
        <w:bottom w:val="none" w:sz="0" w:space="0" w:color="auto"/>
        <w:right w:val="none" w:sz="0" w:space="0" w:color="auto"/>
      </w:divBdr>
    </w:div>
    <w:div w:id="331226471">
      <w:bodyDiv w:val="1"/>
      <w:marLeft w:val="0"/>
      <w:marRight w:val="0"/>
      <w:marTop w:val="0"/>
      <w:marBottom w:val="0"/>
      <w:divBdr>
        <w:top w:val="none" w:sz="0" w:space="0" w:color="auto"/>
        <w:left w:val="none" w:sz="0" w:space="0" w:color="auto"/>
        <w:bottom w:val="none" w:sz="0" w:space="0" w:color="auto"/>
        <w:right w:val="none" w:sz="0" w:space="0" w:color="auto"/>
      </w:divBdr>
    </w:div>
    <w:div w:id="477308081">
      <w:bodyDiv w:val="1"/>
      <w:marLeft w:val="0"/>
      <w:marRight w:val="0"/>
      <w:marTop w:val="0"/>
      <w:marBottom w:val="0"/>
      <w:divBdr>
        <w:top w:val="none" w:sz="0" w:space="0" w:color="auto"/>
        <w:left w:val="none" w:sz="0" w:space="0" w:color="auto"/>
        <w:bottom w:val="none" w:sz="0" w:space="0" w:color="auto"/>
        <w:right w:val="none" w:sz="0" w:space="0" w:color="auto"/>
      </w:divBdr>
    </w:div>
    <w:div w:id="613949350">
      <w:bodyDiv w:val="1"/>
      <w:marLeft w:val="0"/>
      <w:marRight w:val="0"/>
      <w:marTop w:val="0"/>
      <w:marBottom w:val="0"/>
      <w:divBdr>
        <w:top w:val="none" w:sz="0" w:space="0" w:color="auto"/>
        <w:left w:val="none" w:sz="0" w:space="0" w:color="auto"/>
        <w:bottom w:val="none" w:sz="0" w:space="0" w:color="auto"/>
        <w:right w:val="none" w:sz="0" w:space="0" w:color="auto"/>
      </w:divBdr>
    </w:div>
    <w:div w:id="734474014">
      <w:bodyDiv w:val="1"/>
      <w:marLeft w:val="0"/>
      <w:marRight w:val="0"/>
      <w:marTop w:val="0"/>
      <w:marBottom w:val="0"/>
      <w:divBdr>
        <w:top w:val="none" w:sz="0" w:space="0" w:color="auto"/>
        <w:left w:val="none" w:sz="0" w:space="0" w:color="auto"/>
        <w:bottom w:val="none" w:sz="0" w:space="0" w:color="auto"/>
        <w:right w:val="none" w:sz="0" w:space="0" w:color="auto"/>
      </w:divBdr>
    </w:div>
    <w:div w:id="745303527">
      <w:bodyDiv w:val="1"/>
      <w:marLeft w:val="0"/>
      <w:marRight w:val="0"/>
      <w:marTop w:val="0"/>
      <w:marBottom w:val="0"/>
      <w:divBdr>
        <w:top w:val="none" w:sz="0" w:space="0" w:color="auto"/>
        <w:left w:val="none" w:sz="0" w:space="0" w:color="auto"/>
        <w:bottom w:val="none" w:sz="0" w:space="0" w:color="auto"/>
        <w:right w:val="none" w:sz="0" w:space="0" w:color="auto"/>
      </w:divBdr>
    </w:div>
    <w:div w:id="843859922">
      <w:bodyDiv w:val="1"/>
      <w:marLeft w:val="0"/>
      <w:marRight w:val="0"/>
      <w:marTop w:val="0"/>
      <w:marBottom w:val="0"/>
      <w:divBdr>
        <w:top w:val="none" w:sz="0" w:space="0" w:color="auto"/>
        <w:left w:val="none" w:sz="0" w:space="0" w:color="auto"/>
        <w:bottom w:val="none" w:sz="0" w:space="0" w:color="auto"/>
        <w:right w:val="none" w:sz="0" w:space="0" w:color="auto"/>
      </w:divBdr>
    </w:div>
    <w:div w:id="896815074">
      <w:bodyDiv w:val="1"/>
      <w:marLeft w:val="0"/>
      <w:marRight w:val="0"/>
      <w:marTop w:val="0"/>
      <w:marBottom w:val="0"/>
      <w:divBdr>
        <w:top w:val="none" w:sz="0" w:space="0" w:color="auto"/>
        <w:left w:val="none" w:sz="0" w:space="0" w:color="auto"/>
        <w:bottom w:val="none" w:sz="0" w:space="0" w:color="auto"/>
        <w:right w:val="none" w:sz="0" w:space="0" w:color="auto"/>
      </w:divBdr>
    </w:div>
    <w:div w:id="1150513404">
      <w:bodyDiv w:val="1"/>
      <w:marLeft w:val="0"/>
      <w:marRight w:val="0"/>
      <w:marTop w:val="0"/>
      <w:marBottom w:val="0"/>
      <w:divBdr>
        <w:top w:val="none" w:sz="0" w:space="0" w:color="auto"/>
        <w:left w:val="none" w:sz="0" w:space="0" w:color="auto"/>
        <w:bottom w:val="none" w:sz="0" w:space="0" w:color="auto"/>
        <w:right w:val="none" w:sz="0" w:space="0" w:color="auto"/>
      </w:divBdr>
    </w:div>
    <w:div w:id="1200975541">
      <w:bodyDiv w:val="1"/>
      <w:marLeft w:val="0"/>
      <w:marRight w:val="0"/>
      <w:marTop w:val="0"/>
      <w:marBottom w:val="0"/>
      <w:divBdr>
        <w:top w:val="none" w:sz="0" w:space="0" w:color="auto"/>
        <w:left w:val="none" w:sz="0" w:space="0" w:color="auto"/>
        <w:bottom w:val="none" w:sz="0" w:space="0" w:color="auto"/>
        <w:right w:val="none" w:sz="0" w:space="0" w:color="auto"/>
      </w:divBdr>
    </w:div>
    <w:div w:id="1283146189">
      <w:bodyDiv w:val="1"/>
      <w:marLeft w:val="0"/>
      <w:marRight w:val="0"/>
      <w:marTop w:val="0"/>
      <w:marBottom w:val="0"/>
      <w:divBdr>
        <w:top w:val="none" w:sz="0" w:space="0" w:color="auto"/>
        <w:left w:val="none" w:sz="0" w:space="0" w:color="auto"/>
        <w:bottom w:val="none" w:sz="0" w:space="0" w:color="auto"/>
        <w:right w:val="none" w:sz="0" w:space="0" w:color="auto"/>
      </w:divBdr>
    </w:div>
    <w:div w:id="1537960988">
      <w:bodyDiv w:val="1"/>
      <w:marLeft w:val="0"/>
      <w:marRight w:val="0"/>
      <w:marTop w:val="0"/>
      <w:marBottom w:val="0"/>
      <w:divBdr>
        <w:top w:val="none" w:sz="0" w:space="0" w:color="auto"/>
        <w:left w:val="none" w:sz="0" w:space="0" w:color="auto"/>
        <w:bottom w:val="none" w:sz="0" w:space="0" w:color="auto"/>
        <w:right w:val="none" w:sz="0" w:space="0" w:color="auto"/>
      </w:divBdr>
    </w:div>
    <w:div w:id="1588004177">
      <w:bodyDiv w:val="1"/>
      <w:marLeft w:val="0"/>
      <w:marRight w:val="0"/>
      <w:marTop w:val="0"/>
      <w:marBottom w:val="0"/>
      <w:divBdr>
        <w:top w:val="none" w:sz="0" w:space="0" w:color="auto"/>
        <w:left w:val="none" w:sz="0" w:space="0" w:color="auto"/>
        <w:bottom w:val="none" w:sz="0" w:space="0" w:color="auto"/>
        <w:right w:val="none" w:sz="0" w:space="0" w:color="auto"/>
      </w:divBdr>
    </w:div>
    <w:div w:id="1613854553">
      <w:bodyDiv w:val="1"/>
      <w:marLeft w:val="0"/>
      <w:marRight w:val="0"/>
      <w:marTop w:val="0"/>
      <w:marBottom w:val="0"/>
      <w:divBdr>
        <w:top w:val="none" w:sz="0" w:space="0" w:color="auto"/>
        <w:left w:val="none" w:sz="0" w:space="0" w:color="auto"/>
        <w:bottom w:val="none" w:sz="0" w:space="0" w:color="auto"/>
        <w:right w:val="none" w:sz="0" w:space="0" w:color="auto"/>
      </w:divBdr>
    </w:div>
    <w:div w:id="1702323159">
      <w:bodyDiv w:val="1"/>
      <w:marLeft w:val="0"/>
      <w:marRight w:val="0"/>
      <w:marTop w:val="0"/>
      <w:marBottom w:val="0"/>
      <w:divBdr>
        <w:top w:val="none" w:sz="0" w:space="0" w:color="auto"/>
        <w:left w:val="none" w:sz="0" w:space="0" w:color="auto"/>
        <w:bottom w:val="none" w:sz="0" w:space="0" w:color="auto"/>
        <w:right w:val="none" w:sz="0" w:space="0" w:color="auto"/>
      </w:divBdr>
    </w:div>
    <w:div w:id="1721241812">
      <w:bodyDiv w:val="1"/>
      <w:marLeft w:val="0"/>
      <w:marRight w:val="0"/>
      <w:marTop w:val="0"/>
      <w:marBottom w:val="0"/>
      <w:divBdr>
        <w:top w:val="none" w:sz="0" w:space="0" w:color="auto"/>
        <w:left w:val="none" w:sz="0" w:space="0" w:color="auto"/>
        <w:bottom w:val="none" w:sz="0" w:space="0" w:color="auto"/>
        <w:right w:val="none" w:sz="0" w:space="0" w:color="auto"/>
      </w:divBdr>
    </w:div>
    <w:div w:id="1797024885">
      <w:bodyDiv w:val="1"/>
      <w:marLeft w:val="0"/>
      <w:marRight w:val="0"/>
      <w:marTop w:val="0"/>
      <w:marBottom w:val="0"/>
      <w:divBdr>
        <w:top w:val="none" w:sz="0" w:space="0" w:color="auto"/>
        <w:left w:val="none" w:sz="0" w:space="0" w:color="auto"/>
        <w:bottom w:val="none" w:sz="0" w:space="0" w:color="auto"/>
        <w:right w:val="none" w:sz="0" w:space="0" w:color="auto"/>
      </w:divBdr>
    </w:div>
    <w:div w:id="1867517718">
      <w:bodyDiv w:val="1"/>
      <w:marLeft w:val="0"/>
      <w:marRight w:val="0"/>
      <w:marTop w:val="0"/>
      <w:marBottom w:val="0"/>
      <w:divBdr>
        <w:top w:val="none" w:sz="0" w:space="0" w:color="auto"/>
        <w:left w:val="none" w:sz="0" w:space="0" w:color="auto"/>
        <w:bottom w:val="none" w:sz="0" w:space="0" w:color="auto"/>
        <w:right w:val="none" w:sz="0" w:space="0" w:color="auto"/>
      </w:divBdr>
    </w:div>
    <w:div w:id="1885671780">
      <w:bodyDiv w:val="1"/>
      <w:marLeft w:val="0"/>
      <w:marRight w:val="0"/>
      <w:marTop w:val="0"/>
      <w:marBottom w:val="0"/>
      <w:divBdr>
        <w:top w:val="none" w:sz="0" w:space="0" w:color="auto"/>
        <w:left w:val="none" w:sz="0" w:space="0" w:color="auto"/>
        <w:bottom w:val="none" w:sz="0" w:space="0" w:color="auto"/>
        <w:right w:val="none" w:sz="0" w:space="0" w:color="auto"/>
      </w:divBdr>
    </w:div>
    <w:div w:id="2070301597">
      <w:bodyDiv w:val="1"/>
      <w:marLeft w:val="0"/>
      <w:marRight w:val="0"/>
      <w:marTop w:val="0"/>
      <w:marBottom w:val="0"/>
      <w:divBdr>
        <w:top w:val="none" w:sz="0" w:space="0" w:color="auto"/>
        <w:left w:val="none" w:sz="0" w:space="0" w:color="auto"/>
        <w:bottom w:val="none" w:sz="0" w:space="0" w:color="auto"/>
        <w:right w:val="none" w:sz="0" w:space="0" w:color="auto"/>
      </w:divBdr>
    </w:div>
    <w:div w:id="210915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greaternorwichgrowth.org.uk/planning/monitorin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greaternorwichgrowth.org.uk/reports/amr/" TargetMode="External"/><Relationship Id="rId12" Type="http://schemas.openxmlformats.org/officeDocument/2006/relationships/hyperlink" Target="https://www.greaternorwichgrowth.org.uk/planning/monitoring/" TargetMode="External"/><Relationship Id="rId17" Type="http://schemas.openxmlformats.org/officeDocument/2006/relationships/hyperlink" Target="https://www.greaternorwichgrowth.org.uk/planning/monitoring/" TargetMode="External"/><Relationship Id="rId2" Type="http://schemas.openxmlformats.org/officeDocument/2006/relationships/numbering" Target="numbering.xml"/><Relationship Id="rId16" Type="http://schemas.openxmlformats.org/officeDocument/2006/relationships/hyperlink" Target="https://www.greaternorwichgrowth.org.uk/planning/monitorin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greaternorwichgrowth.org.uk/reports/5yiip/" TargetMode="Externa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www.greaternorwichgrowth.org.uk/planning/monitoring/" TargetMode="Externa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greaternorwichgrowth.org.uk/planning/monito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BBBB5-1D83-4C23-BBBC-19CA44A42E7C}">
  <ds:schemaRefs>
    <ds:schemaRef ds:uri="http://schemas.openxmlformats.org/officeDocument/2006/bibliography"/>
  </ds:schemaRefs>
</ds:datastoreItem>
</file>

<file path=docMetadata/LabelInfo.xml><?xml version="1.0" encoding="utf-8"?>
<clbl:labelList xmlns:clbl="http://schemas.microsoft.com/office/2020/mipLabelMetadata">
  <clbl:label id="{bd1b448a-529f-4a04-a421-bd4ae1f79bb0}" enabled="0" method="" siteId="{bd1b448a-529f-4a04-a421-bd4ae1f79bb0}"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1268</Words>
  <Characters>7233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South Norfolk Council</Company>
  <LinksUpToDate>false</LinksUpToDate>
  <CharactersWithSpaces>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 CIL IFS 2024 - 2025 MW</dc:title>
  <dc:creator>Carole Baker</dc:creator>
  <cp:lastModifiedBy>Stuart Pontin</cp:lastModifiedBy>
  <cp:revision>2</cp:revision>
  <cp:lastPrinted>2019-07-18T13:09:00Z</cp:lastPrinted>
  <dcterms:created xsi:type="dcterms:W3CDTF">2025-12-08T15:03:00Z</dcterms:created>
  <dcterms:modified xsi:type="dcterms:W3CDTF">2025-12-10T11:28:58Z</dcterms:modified>
  <cp:keywords>
  </cp:keywords>
  <dc:subject>
  </dc:subject>
</cp:coreProperties>
</file>